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8642" w:type="dxa"/>
        <w:shd w:val="clear" w:color="auto" w:fill="AEAAAA" w:themeFill="background2" w:themeFillShade="BF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985"/>
        <w:gridCol w:w="1701"/>
        <w:gridCol w:w="1984"/>
      </w:tblGrid>
      <w:tr w:rsidR="00720DD6" w:rsidRPr="001F3DCA" w:rsidTr="00720DD6">
        <w:trPr>
          <w:trHeight w:val="274"/>
        </w:trPr>
        <w:tc>
          <w:tcPr>
            <w:tcW w:w="1413" w:type="dxa"/>
            <w:shd w:val="clear" w:color="auto" w:fill="AEAAAA" w:themeFill="background2" w:themeFillShade="BF"/>
          </w:tcPr>
          <w:p w:rsidR="00720DD6" w:rsidRPr="00720DD6" w:rsidRDefault="00720DD6" w:rsidP="00720DD6">
            <w:pPr>
              <w:snapToGrid w:val="0"/>
              <w:spacing w:line="264" w:lineRule="auto"/>
              <w:rPr>
                <w:sz w:val="21"/>
                <w:szCs w:val="21"/>
              </w:rPr>
            </w:pPr>
            <w:r w:rsidRPr="00720DD6">
              <w:rPr>
                <w:sz w:val="21"/>
                <w:szCs w:val="21"/>
              </w:rPr>
              <w:t>First Name: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720DD6" w:rsidRPr="00720DD6" w:rsidRDefault="00720DD6" w:rsidP="00720DD6">
            <w:pPr>
              <w:snapToGrid w:val="0"/>
              <w:spacing w:line="264" w:lineRule="auto"/>
              <w:rPr>
                <w:sz w:val="21"/>
                <w:szCs w:val="21"/>
              </w:rPr>
            </w:pPr>
            <w:r w:rsidRPr="00720DD6">
              <w:rPr>
                <w:sz w:val="21"/>
                <w:szCs w:val="21"/>
              </w:rPr>
              <w:t>Suyang</w:t>
            </w:r>
          </w:p>
        </w:tc>
        <w:tc>
          <w:tcPr>
            <w:tcW w:w="1985" w:type="dxa"/>
            <w:shd w:val="clear" w:color="auto" w:fill="AEAAAA" w:themeFill="background2" w:themeFillShade="BF"/>
          </w:tcPr>
          <w:p w:rsidR="00720DD6" w:rsidRPr="00720DD6" w:rsidRDefault="00720DD6" w:rsidP="00720DD6">
            <w:pPr>
              <w:snapToGrid w:val="0"/>
              <w:spacing w:line="264" w:lineRule="auto"/>
              <w:rPr>
                <w:sz w:val="21"/>
                <w:szCs w:val="21"/>
              </w:rPr>
            </w:pPr>
            <w:r w:rsidRPr="00720DD6">
              <w:rPr>
                <w:sz w:val="21"/>
                <w:szCs w:val="21"/>
              </w:rPr>
              <w:t>Family Name</w:t>
            </w:r>
            <w:r w:rsidRPr="00720DD6">
              <w:rPr>
                <w:sz w:val="21"/>
                <w:szCs w:val="21"/>
              </w:rPr>
              <w:t>：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720DD6" w:rsidRPr="00720DD6" w:rsidRDefault="00720DD6" w:rsidP="00720DD6">
            <w:pPr>
              <w:snapToGrid w:val="0"/>
              <w:spacing w:line="264" w:lineRule="auto"/>
              <w:rPr>
                <w:sz w:val="21"/>
                <w:szCs w:val="21"/>
              </w:rPr>
            </w:pPr>
            <w:r w:rsidRPr="00720DD6">
              <w:rPr>
                <w:sz w:val="21"/>
                <w:szCs w:val="21"/>
              </w:rPr>
              <w:t>Zhu</w:t>
            </w:r>
          </w:p>
        </w:tc>
        <w:tc>
          <w:tcPr>
            <w:tcW w:w="1984" w:type="dxa"/>
            <w:vMerge w:val="restart"/>
            <w:shd w:val="clear" w:color="auto" w:fill="AEAAAA" w:themeFill="background2" w:themeFillShade="BF"/>
          </w:tcPr>
          <w:p w:rsidR="00720DD6" w:rsidRDefault="00981439" w:rsidP="00460C6D">
            <w:pPr>
              <w:jc w:val="left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drawing>
                <wp:inline distT="0" distB="0" distL="0" distR="0">
                  <wp:extent cx="1119505" cy="1565275"/>
                  <wp:effectExtent l="0" t="0" r="4445" b="0"/>
                  <wp:docPr id="2" name="图片 2" descr="C:\Users\Administrator\pic-zhu\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pic-zhu\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56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DD6" w:rsidRPr="001F3DCA" w:rsidTr="00720DD6">
        <w:trPr>
          <w:trHeight w:val="278"/>
        </w:trPr>
        <w:tc>
          <w:tcPr>
            <w:tcW w:w="2972" w:type="dxa"/>
            <w:gridSpan w:val="2"/>
            <w:shd w:val="clear" w:color="auto" w:fill="AEAAAA" w:themeFill="background2" w:themeFillShade="BF"/>
          </w:tcPr>
          <w:p w:rsidR="00720DD6" w:rsidRPr="00720DD6" w:rsidRDefault="00720DD6" w:rsidP="00720DD6">
            <w:pPr>
              <w:snapToGrid w:val="0"/>
              <w:spacing w:line="264" w:lineRule="auto"/>
              <w:rPr>
                <w:sz w:val="21"/>
                <w:szCs w:val="21"/>
              </w:rPr>
            </w:pPr>
            <w:r w:rsidRPr="00720DD6">
              <w:rPr>
                <w:sz w:val="21"/>
                <w:szCs w:val="21"/>
              </w:rPr>
              <w:t>Birthday:</w:t>
            </w:r>
          </w:p>
        </w:tc>
        <w:tc>
          <w:tcPr>
            <w:tcW w:w="3686" w:type="dxa"/>
            <w:gridSpan w:val="2"/>
            <w:shd w:val="clear" w:color="auto" w:fill="AEAAAA" w:themeFill="background2" w:themeFillShade="BF"/>
          </w:tcPr>
          <w:p w:rsidR="00720DD6" w:rsidRPr="00720DD6" w:rsidRDefault="00720DD6" w:rsidP="00720DD6">
            <w:pPr>
              <w:snapToGrid w:val="0"/>
              <w:spacing w:line="264" w:lineRule="auto"/>
              <w:rPr>
                <w:sz w:val="21"/>
                <w:szCs w:val="21"/>
              </w:rPr>
            </w:pPr>
            <w:r w:rsidRPr="00720DD6">
              <w:rPr>
                <w:sz w:val="21"/>
                <w:szCs w:val="21"/>
              </w:rPr>
              <w:t>25</w:t>
            </w:r>
            <w:r w:rsidRPr="00720DD6">
              <w:rPr>
                <w:sz w:val="21"/>
                <w:szCs w:val="21"/>
                <w:vertAlign w:val="superscript"/>
              </w:rPr>
              <w:t>th</w:t>
            </w:r>
            <w:r w:rsidRPr="00720DD6">
              <w:rPr>
                <w:sz w:val="21"/>
                <w:szCs w:val="21"/>
              </w:rPr>
              <w:t xml:space="preserve"> March 1989</w:t>
            </w:r>
          </w:p>
        </w:tc>
        <w:tc>
          <w:tcPr>
            <w:tcW w:w="1984" w:type="dxa"/>
            <w:vMerge/>
            <w:shd w:val="clear" w:color="auto" w:fill="AEAAAA" w:themeFill="background2" w:themeFillShade="BF"/>
          </w:tcPr>
          <w:p w:rsidR="00720DD6" w:rsidRDefault="00720DD6" w:rsidP="00460C6D">
            <w:pPr>
              <w:rPr>
                <w:sz w:val="24"/>
                <w:szCs w:val="28"/>
              </w:rPr>
            </w:pPr>
          </w:p>
        </w:tc>
      </w:tr>
      <w:tr w:rsidR="00720DD6" w:rsidRPr="001F3DCA" w:rsidTr="00720DD6">
        <w:trPr>
          <w:trHeight w:val="268"/>
        </w:trPr>
        <w:tc>
          <w:tcPr>
            <w:tcW w:w="2972" w:type="dxa"/>
            <w:gridSpan w:val="2"/>
            <w:shd w:val="clear" w:color="auto" w:fill="AEAAAA" w:themeFill="background2" w:themeFillShade="BF"/>
          </w:tcPr>
          <w:p w:rsidR="00720DD6" w:rsidRPr="00720DD6" w:rsidRDefault="00720DD6" w:rsidP="00720DD6">
            <w:pPr>
              <w:snapToGrid w:val="0"/>
              <w:spacing w:line="264" w:lineRule="auto"/>
              <w:rPr>
                <w:sz w:val="21"/>
                <w:szCs w:val="21"/>
              </w:rPr>
            </w:pPr>
            <w:r w:rsidRPr="00720DD6">
              <w:rPr>
                <w:sz w:val="21"/>
                <w:szCs w:val="21"/>
              </w:rPr>
              <w:t>Passport No:</w:t>
            </w:r>
          </w:p>
        </w:tc>
        <w:tc>
          <w:tcPr>
            <w:tcW w:w="3686" w:type="dxa"/>
            <w:gridSpan w:val="2"/>
            <w:shd w:val="clear" w:color="auto" w:fill="AEAAAA" w:themeFill="background2" w:themeFillShade="BF"/>
          </w:tcPr>
          <w:p w:rsidR="00720DD6" w:rsidRPr="00720DD6" w:rsidRDefault="00720DD6" w:rsidP="00720DD6">
            <w:pPr>
              <w:snapToGrid w:val="0"/>
              <w:spacing w:line="264" w:lineRule="auto"/>
              <w:rPr>
                <w:sz w:val="21"/>
                <w:szCs w:val="21"/>
              </w:rPr>
            </w:pPr>
            <w:r w:rsidRPr="00720DD6">
              <w:rPr>
                <w:sz w:val="21"/>
                <w:szCs w:val="21"/>
              </w:rPr>
              <w:t>G51864918</w:t>
            </w:r>
          </w:p>
        </w:tc>
        <w:tc>
          <w:tcPr>
            <w:tcW w:w="1984" w:type="dxa"/>
            <w:vMerge/>
            <w:shd w:val="clear" w:color="auto" w:fill="AEAAAA" w:themeFill="background2" w:themeFillShade="BF"/>
          </w:tcPr>
          <w:p w:rsidR="00720DD6" w:rsidRDefault="00720DD6" w:rsidP="00460C6D">
            <w:pPr>
              <w:rPr>
                <w:sz w:val="24"/>
                <w:szCs w:val="28"/>
              </w:rPr>
            </w:pPr>
          </w:p>
        </w:tc>
      </w:tr>
      <w:tr w:rsidR="00720DD6" w:rsidRPr="001F3DCA" w:rsidTr="00720DD6">
        <w:trPr>
          <w:trHeight w:val="130"/>
        </w:trPr>
        <w:tc>
          <w:tcPr>
            <w:tcW w:w="2972" w:type="dxa"/>
            <w:gridSpan w:val="2"/>
            <w:shd w:val="clear" w:color="auto" w:fill="AEAAAA" w:themeFill="background2" w:themeFillShade="BF"/>
          </w:tcPr>
          <w:p w:rsidR="00720DD6" w:rsidRPr="00720DD6" w:rsidRDefault="00720DD6" w:rsidP="00720DD6">
            <w:pPr>
              <w:snapToGrid w:val="0"/>
              <w:spacing w:line="264" w:lineRule="auto"/>
              <w:rPr>
                <w:sz w:val="21"/>
                <w:szCs w:val="21"/>
              </w:rPr>
            </w:pPr>
            <w:r w:rsidRPr="00720DD6">
              <w:rPr>
                <w:sz w:val="21"/>
                <w:szCs w:val="21"/>
              </w:rPr>
              <w:t>Profession:</w:t>
            </w:r>
          </w:p>
        </w:tc>
        <w:tc>
          <w:tcPr>
            <w:tcW w:w="3686" w:type="dxa"/>
            <w:gridSpan w:val="2"/>
            <w:shd w:val="clear" w:color="auto" w:fill="AEAAAA" w:themeFill="background2" w:themeFillShade="BF"/>
          </w:tcPr>
          <w:p w:rsidR="00720DD6" w:rsidRPr="00720DD6" w:rsidRDefault="0051575B" w:rsidP="00720DD6">
            <w:pPr>
              <w:snapToGrid w:val="0"/>
              <w:spacing w:line="264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Lecturer</w:t>
            </w:r>
            <w:r w:rsidR="001269E1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AEAAAA" w:themeFill="background2" w:themeFillShade="BF"/>
          </w:tcPr>
          <w:p w:rsidR="00720DD6" w:rsidRDefault="00720DD6" w:rsidP="00460C6D">
            <w:pPr>
              <w:jc w:val="left"/>
              <w:rPr>
                <w:sz w:val="24"/>
                <w:szCs w:val="28"/>
              </w:rPr>
            </w:pPr>
          </w:p>
        </w:tc>
      </w:tr>
      <w:tr w:rsidR="00720DD6" w:rsidTr="00720DD6">
        <w:trPr>
          <w:trHeight w:val="70"/>
        </w:trPr>
        <w:tc>
          <w:tcPr>
            <w:tcW w:w="2972" w:type="dxa"/>
            <w:gridSpan w:val="2"/>
            <w:shd w:val="clear" w:color="auto" w:fill="AEAAAA" w:themeFill="background2" w:themeFillShade="BF"/>
          </w:tcPr>
          <w:p w:rsidR="00720DD6" w:rsidRPr="00720DD6" w:rsidRDefault="00720DD6" w:rsidP="00720DD6">
            <w:pPr>
              <w:snapToGrid w:val="0"/>
              <w:spacing w:line="264" w:lineRule="auto"/>
              <w:rPr>
                <w:sz w:val="21"/>
                <w:szCs w:val="21"/>
              </w:rPr>
            </w:pPr>
            <w:r w:rsidRPr="00720DD6">
              <w:rPr>
                <w:sz w:val="21"/>
                <w:szCs w:val="21"/>
              </w:rPr>
              <w:t>Major:</w:t>
            </w:r>
          </w:p>
        </w:tc>
        <w:tc>
          <w:tcPr>
            <w:tcW w:w="3686" w:type="dxa"/>
            <w:gridSpan w:val="2"/>
            <w:shd w:val="clear" w:color="auto" w:fill="AEAAAA" w:themeFill="background2" w:themeFillShade="BF"/>
          </w:tcPr>
          <w:p w:rsidR="00720DD6" w:rsidRPr="00720DD6" w:rsidRDefault="00720DD6" w:rsidP="00720DD6">
            <w:pPr>
              <w:snapToGrid w:val="0"/>
              <w:spacing w:line="264" w:lineRule="auto"/>
              <w:rPr>
                <w:sz w:val="21"/>
                <w:szCs w:val="21"/>
              </w:rPr>
            </w:pPr>
            <w:r w:rsidRPr="00720DD6">
              <w:rPr>
                <w:sz w:val="21"/>
                <w:szCs w:val="21"/>
              </w:rPr>
              <w:t>Petroleum engineering</w:t>
            </w:r>
          </w:p>
        </w:tc>
        <w:tc>
          <w:tcPr>
            <w:tcW w:w="1984" w:type="dxa"/>
            <w:vMerge/>
            <w:shd w:val="clear" w:color="auto" w:fill="AEAAAA" w:themeFill="background2" w:themeFillShade="BF"/>
          </w:tcPr>
          <w:p w:rsidR="00720DD6" w:rsidRDefault="00720DD6" w:rsidP="00460C6D">
            <w:pPr>
              <w:jc w:val="left"/>
              <w:rPr>
                <w:sz w:val="24"/>
                <w:szCs w:val="28"/>
              </w:rPr>
            </w:pPr>
          </w:p>
        </w:tc>
      </w:tr>
      <w:tr w:rsidR="00720DD6" w:rsidTr="00720DD6">
        <w:trPr>
          <w:trHeight w:val="70"/>
        </w:trPr>
        <w:tc>
          <w:tcPr>
            <w:tcW w:w="2972" w:type="dxa"/>
            <w:gridSpan w:val="2"/>
            <w:shd w:val="clear" w:color="auto" w:fill="AEAAAA" w:themeFill="background2" w:themeFillShade="BF"/>
          </w:tcPr>
          <w:p w:rsidR="00720DD6" w:rsidRPr="00720DD6" w:rsidRDefault="00720DD6" w:rsidP="00720DD6">
            <w:pPr>
              <w:snapToGrid w:val="0"/>
              <w:spacing w:line="264" w:lineRule="auto"/>
              <w:rPr>
                <w:sz w:val="21"/>
                <w:szCs w:val="21"/>
              </w:rPr>
            </w:pPr>
            <w:r w:rsidRPr="00720DD6">
              <w:rPr>
                <w:sz w:val="21"/>
                <w:szCs w:val="21"/>
              </w:rPr>
              <w:t>Telephone:</w:t>
            </w:r>
          </w:p>
        </w:tc>
        <w:tc>
          <w:tcPr>
            <w:tcW w:w="3686" w:type="dxa"/>
            <w:gridSpan w:val="2"/>
            <w:shd w:val="clear" w:color="auto" w:fill="AEAAAA" w:themeFill="background2" w:themeFillShade="BF"/>
          </w:tcPr>
          <w:p w:rsidR="00720DD6" w:rsidRPr="00720DD6" w:rsidRDefault="00720DD6" w:rsidP="00720DD6">
            <w:pPr>
              <w:snapToGrid w:val="0"/>
              <w:spacing w:line="264" w:lineRule="auto"/>
              <w:rPr>
                <w:sz w:val="21"/>
                <w:szCs w:val="21"/>
              </w:rPr>
            </w:pPr>
            <w:r w:rsidRPr="00720DD6">
              <w:rPr>
                <w:sz w:val="21"/>
                <w:szCs w:val="21"/>
              </w:rPr>
              <w:t>+86 15828512977</w:t>
            </w:r>
          </w:p>
        </w:tc>
        <w:tc>
          <w:tcPr>
            <w:tcW w:w="1984" w:type="dxa"/>
            <w:vMerge/>
            <w:shd w:val="clear" w:color="auto" w:fill="AEAAAA" w:themeFill="background2" w:themeFillShade="BF"/>
          </w:tcPr>
          <w:p w:rsidR="00720DD6" w:rsidRDefault="00720DD6" w:rsidP="00460C6D">
            <w:pPr>
              <w:jc w:val="left"/>
              <w:rPr>
                <w:sz w:val="24"/>
                <w:szCs w:val="28"/>
              </w:rPr>
            </w:pPr>
          </w:p>
        </w:tc>
      </w:tr>
      <w:tr w:rsidR="00720DD6" w:rsidRPr="001F3DCA" w:rsidTr="00720DD6">
        <w:trPr>
          <w:trHeight w:val="124"/>
        </w:trPr>
        <w:tc>
          <w:tcPr>
            <w:tcW w:w="2972" w:type="dxa"/>
            <w:gridSpan w:val="2"/>
            <w:shd w:val="clear" w:color="auto" w:fill="AEAAAA" w:themeFill="background2" w:themeFillShade="BF"/>
          </w:tcPr>
          <w:p w:rsidR="00720DD6" w:rsidRPr="00720DD6" w:rsidRDefault="00720DD6" w:rsidP="00720DD6">
            <w:pPr>
              <w:snapToGrid w:val="0"/>
              <w:spacing w:line="264" w:lineRule="auto"/>
              <w:rPr>
                <w:sz w:val="21"/>
                <w:szCs w:val="21"/>
              </w:rPr>
            </w:pPr>
            <w:r w:rsidRPr="00720DD6">
              <w:rPr>
                <w:sz w:val="21"/>
                <w:szCs w:val="21"/>
              </w:rPr>
              <w:t>E-mail:</w:t>
            </w:r>
          </w:p>
        </w:tc>
        <w:tc>
          <w:tcPr>
            <w:tcW w:w="3686" w:type="dxa"/>
            <w:gridSpan w:val="2"/>
            <w:shd w:val="clear" w:color="auto" w:fill="AEAAAA" w:themeFill="background2" w:themeFillShade="BF"/>
          </w:tcPr>
          <w:p w:rsidR="00D76E4D" w:rsidRDefault="00D76E4D" w:rsidP="00720DD6">
            <w:pPr>
              <w:snapToGrid w:val="0"/>
              <w:spacing w:line="26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Suyang.zhu@swpu.edu.cn</w:t>
            </w:r>
          </w:p>
          <w:p w:rsidR="00720DD6" w:rsidRPr="00720DD6" w:rsidRDefault="00720DD6" w:rsidP="00720DD6">
            <w:pPr>
              <w:snapToGrid w:val="0"/>
              <w:spacing w:line="264" w:lineRule="auto"/>
              <w:rPr>
                <w:sz w:val="21"/>
                <w:szCs w:val="21"/>
              </w:rPr>
            </w:pPr>
            <w:r w:rsidRPr="00720DD6">
              <w:rPr>
                <w:sz w:val="21"/>
                <w:szCs w:val="21"/>
              </w:rPr>
              <w:t>zhusuyang1989@aliyun.com</w:t>
            </w:r>
          </w:p>
        </w:tc>
        <w:tc>
          <w:tcPr>
            <w:tcW w:w="1984" w:type="dxa"/>
            <w:vMerge/>
            <w:shd w:val="clear" w:color="auto" w:fill="AEAAAA" w:themeFill="background2" w:themeFillShade="BF"/>
          </w:tcPr>
          <w:p w:rsidR="00720DD6" w:rsidRDefault="00720DD6" w:rsidP="00460C6D">
            <w:pPr>
              <w:rPr>
                <w:sz w:val="24"/>
                <w:szCs w:val="28"/>
              </w:rPr>
            </w:pPr>
          </w:p>
        </w:tc>
      </w:tr>
      <w:tr w:rsidR="00720DD6" w:rsidRPr="001F3DCA" w:rsidTr="00720DD6">
        <w:trPr>
          <w:trHeight w:val="124"/>
        </w:trPr>
        <w:tc>
          <w:tcPr>
            <w:tcW w:w="6658" w:type="dxa"/>
            <w:gridSpan w:val="4"/>
            <w:shd w:val="clear" w:color="auto" w:fill="AEAAAA" w:themeFill="background2" w:themeFillShade="BF"/>
          </w:tcPr>
          <w:p w:rsidR="00720DD6" w:rsidRPr="00720DD6" w:rsidRDefault="00720DD6" w:rsidP="00720DD6">
            <w:pPr>
              <w:snapToGrid w:val="0"/>
              <w:spacing w:line="264" w:lineRule="auto"/>
              <w:rPr>
                <w:sz w:val="21"/>
                <w:szCs w:val="21"/>
              </w:rPr>
            </w:pPr>
            <w:r w:rsidRPr="00720DD6">
              <w:rPr>
                <w:rFonts w:hint="eastAsia"/>
                <w:sz w:val="21"/>
                <w:szCs w:val="21"/>
              </w:rPr>
              <w:t>Address:</w:t>
            </w:r>
            <w:r>
              <w:rPr>
                <w:sz w:val="21"/>
                <w:szCs w:val="21"/>
              </w:rPr>
              <w:t xml:space="preserve"> </w:t>
            </w:r>
            <w:r w:rsidRPr="00720DD6">
              <w:rPr>
                <w:sz w:val="21"/>
                <w:szCs w:val="21"/>
              </w:rPr>
              <w:t xml:space="preserve">Room B404@State Key Lab, </w:t>
            </w:r>
            <w:r>
              <w:rPr>
                <w:sz w:val="21"/>
                <w:szCs w:val="21"/>
              </w:rPr>
              <w:t xml:space="preserve">Southwest Petroleum University, </w:t>
            </w:r>
            <w:r w:rsidRPr="00720DD6">
              <w:rPr>
                <w:sz w:val="21"/>
                <w:szCs w:val="21"/>
              </w:rPr>
              <w:t>Xindu Avenue No.8, Chengdu, Sichuan Province, PRC</w:t>
            </w:r>
          </w:p>
        </w:tc>
        <w:tc>
          <w:tcPr>
            <w:tcW w:w="1984" w:type="dxa"/>
            <w:vMerge/>
            <w:shd w:val="clear" w:color="auto" w:fill="AEAAAA" w:themeFill="background2" w:themeFillShade="BF"/>
          </w:tcPr>
          <w:p w:rsidR="00720DD6" w:rsidRDefault="00720DD6" w:rsidP="00460C6D">
            <w:pPr>
              <w:rPr>
                <w:sz w:val="24"/>
                <w:szCs w:val="28"/>
              </w:rPr>
            </w:pPr>
          </w:p>
        </w:tc>
      </w:tr>
      <w:tr w:rsidR="00872DF1" w:rsidRPr="00F81638" w:rsidTr="00766B36">
        <w:tblPrEx>
          <w:shd w:val="clear" w:color="auto" w:fill="auto"/>
        </w:tblPrEx>
        <w:tc>
          <w:tcPr>
            <w:tcW w:w="8642" w:type="dxa"/>
            <w:gridSpan w:val="5"/>
            <w:shd w:val="clear" w:color="auto" w:fill="A6A6A6" w:themeFill="background1" w:themeFillShade="A6"/>
          </w:tcPr>
          <w:p w:rsidR="00872DF1" w:rsidRPr="00F81638" w:rsidRDefault="00872DF1" w:rsidP="00720DD6">
            <w:pPr>
              <w:spacing w:line="360" w:lineRule="auto"/>
              <w:rPr>
                <w:b/>
                <w:szCs w:val="21"/>
              </w:rPr>
            </w:pPr>
            <w:r w:rsidRPr="00F81638">
              <w:rPr>
                <w:b/>
                <w:szCs w:val="21"/>
              </w:rPr>
              <w:t>Curriculum vitae</w:t>
            </w:r>
          </w:p>
        </w:tc>
      </w:tr>
      <w:tr w:rsidR="00872DF1" w:rsidRPr="00F81638" w:rsidTr="00872DF1">
        <w:tblPrEx>
          <w:shd w:val="clear" w:color="auto" w:fill="auto"/>
        </w:tblPrEx>
        <w:tc>
          <w:tcPr>
            <w:tcW w:w="8642" w:type="dxa"/>
            <w:gridSpan w:val="5"/>
          </w:tcPr>
          <w:p w:rsidR="00872DF1" w:rsidRPr="00F81638" w:rsidRDefault="00872DF1" w:rsidP="00872DF1">
            <w:pPr>
              <w:pStyle w:val="a8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F81638">
              <w:rPr>
                <w:szCs w:val="21"/>
              </w:rPr>
              <w:t>2008.09 – 2012.06: Study in SWPU, majored in Petroleum Engineering. 2012.6 Achieved the B</w:t>
            </w:r>
            <w:r w:rsidR="00A00CD5">
              <w:rPr>
                <w:rFonts w:hint="eastAsia"/>
                <w:szCs w:val="21"/>
              </w:rPr>
              <w:t>E</w:t>
            </w:r>
            <w:r w:rsidRPr="00F81638">
              <w:rPr>
                <w:szCs w:val="21"/>
              </w:rPr>
              <w:t xml:space="preserve"> degree of Petroleum Engineering and was recommended directly to Ph.D. degree study.</w:t>
            </w:r>
          </w:p>
          <w:p w:rsidR="00872DF1" w:rsidRPr="00F81638" w:rsidRDefault="00872DF1" w:rsidP="00872DF1">
            <w:pPr>
              <w:pStyle w:val="a8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F81638">
              <w:rPr>
                <w:szCs w:val="21"/>
              </w:rPr>
              <w:t>2012.09 –</w:t>
            </w:r>
            <w:r w:rsidR="001269E1">
              <w:rPr>
                <w:szCs w:val="21"/>
              </w:rPr>
              <w:t>2018.12</w:t>
            </w:r>
            <w:r w:rsidRPr="00F81638">
              <w:rPr>
                <w:szCs w:val="21"/>
              </w:rPr>
              <w:t>: Study in SWPU, majored in Oil &amp; Gas Reservoir Exploitation Engineering, research on oil &amp; gas flow in porous media</w:t>
            </w:r>
            <w:r w:rsidR="001269E1">
              <w:rPr>
                <w:rFonts w:hint="eastAsia"/>
                <w:szCs w:val="21"/>
              </w:rPr>
              <w:t>,</w:t>
            </w:r>
            <w:r w:rsidR="001269E1">
              <w:rPr>
                <w:szCs w:val="21"/>
              </w:rPr>
              <w:t xml:space="preserve"> </w:t>
            </w:r>
            <w:r w:rsidR="001269E1" w:rsidRPr="00F81638">
              <w:rPr>
                <w:szCs w:val="21"/>
              </w:rPr>
              <w:t>201</w:t>
            </w:r>
            <w:r w:rsidR="001269E1">
              <w:rPr>
                <w:szCs w:val="21"/>
              </w:rPr>
              <w:t>8</w:t>
            </w:r>
            <w:r w:rsidR="001269E1" w:rsidRPr="00F81638">
              <w:rPr>
                <w:szCs w:val="21"/>
              </w:rPr>
              <w:t>.</w:t>
            </w:r>
            <w:r w:rsidR="001269E1">
              <w:rPr>
                <w:szCs w:val="21"/>
              </w:rPr>
              <w:t>12</w:t>
            </w:r>
            <w:r w:rsidR="001269E1" w:rsidRPr="00F81638">
              <w:rPr>
                <w:szCs w:val="21"/>
              </w:rPr>
              <w:t xml:space="preserve"> Achieved </w:t>
            </w:r>
            <w:r w:rsidRPr="00F81638">
              <w:rPr>
                <w:szCs w:val="21"/>
              </w:rPr>
              <w:t>Ph.D. degree.</w:t>
            </w:r>
          </w:p>
          <w:p w:rsidR="00872DF1" w:rsidRPr="00F81638" w:rsidRDefault="00872DF1" w:rsidP="00AA49A4">
            <w:pPr>
              <w:pStyle w:val="a8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F81638">
              <w:rPr>
                <w:szCs w:val="21"/>
              </w:rPr>
              <w:t>2014.06 – 201</w:t>
            </w:r>
            <w:r w:rsidR="001269E1">
              <w:rPr>
                <w:szCs w:val="21"/>
              </w:rPr>
              <w:t>4</w:t>
            </w:r>
            <w:r w:rsidRPr="00F81638">
              <w:rPr>
                <w:szCs w:val="21"/>
              </w:rPr>
              <w:t>.08: visiting scholar in TU Clausthal</w:t>
            </w:r>
            <w:r w:rsidR="00123556" w:rsidRPr="00F81638">
              <w:rPr>
                <w:szCs w:val="21"/>
              </w:rPr>
              <w:t xml:space="preserve">, </w:t>
            </w:r>
            <w:r w:rsidR="00123556" w:rsidRPr="00F81638">
              <w:rPr>
                <w:rFonts w:hint="eastAsia"/>
                <w:szCs w:val="21"/>
              </w:rPr>
              <w:t>funded by German government</w:t>
            </w:r>
            <w:r w:rsidRPr="00F81638">
              <w:rPr>
                <w:szCs w:val="21"/>
              </w:rPr>
              <w:t>.</w:t>
            </w:r>
          </w:p>
          <w:p w:rsidR="00123556" w:rsidRPr="00F81638" w:rsidRDefault="00123556" w:rsidP="00123556">
            <w:pPr>
              <w:pStyle w:val="a8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F81638">
              <w:rPr>
                <w:szCs w:val="21"/>
              </w:rPr>
              <w:t xml:space="preserve">2017.07 – 2018.7: visiting scholar in </w:t>
            </w:r>
            <w:r w:rsidRPr="00F81638">
              <w:rPr>
                <w:rFonts w:hint="eastAsia"/>
                <w:szCs w:val="21"/>
              </w:rPr>
              <w:t>University of Adelaide</w:t>
            </w:r>
            <w:r w:rsidRPr="00F81638">
              <w:rPr>
                <w:szCs w:val="21"/>
              </w:rPr>
              <w:t xml:space="preserve">, </w:t>
            </w:r>
            <w:r w:rsidRPr="00F81638">
              <w:rPr>
                <w:rFonts w:hint="eastAsia"/>
                <w:szCs w:val="21"/>
              </w:rPr>
              <w:t>funded by China government</w:t>
            </w:r>
            <w:r w:rsidRPr="00F81638">
              <w:rPr>
                <w:szCs w:val="21"/>
              </w:rPr>
              <w:t>.</w:t>
            </w:r>
          </w:p>
        </w:tc>
      </w:tr>
      <w:tr w:rsidR="00AA49A4" w:rsidRPr="00F81638" w:rsidTr="00AA49A4">
        <w:tblPrEx>
          <w:shd w:val="clear" w:color="auto" w:fill="auto"/>
        </w:tblPrEx>
        <w:tc>
          <w:tcPr>
            <w:tcW w:w="8642" w:type="dxa"/>
            <w:gridSpan w:val="5"/>
            <w:shd w:val="clear" w:color="auto" w:fill="A6A6A6" w:themeFill="background1" w:themeFillShade="A6"/>
          </w:tcPr>
          <w:p w:rsidR="00AA49A4" w:rsidRPr="00F81638" w:rsidRDefault="00AA49A4" w:rsidP="00720DD6">
            <w:pPr>
              <w:spacing w:line="360" w:lineRule="auto"/>
              <w:rPr>
                <w:b/>
                <w:szCs w:val="21"/>
              </w:rPr>
            </w:pPr>
            <w:r w:rsidRPr="00F81638">
              <w:rPr>
                <w:rFonts w:hint="eastAsia"/>
                <w:b/>
                <w:szCs w:val="21"/>
              </w:rPr>
              <w:t xml:space="preserve">Research </w:t>
            </w:r>
            <w:r w:rsidR="005F5879">
              <w:rPr>
                <w:rFonts w:hint="eastAsia"/>
                <w:b/>
                <w:szCs w:val="21"/>
              </w:rPr>
              <w:t>interests</w:t>
            </w:r>
          </w:p>
        </w:tc>
      </w:tr>
      <w:tr w:rsidR="00AA49A4" w:rsidRPr="00F81638" w:rsidTr="00872DF1">
        <w:tblPrEx>
          <w:shd w:val="clear" w:color="auto" w:fill="auto"/>
        </w:tblPrEx>
        <w:tc>
          <w:tcPr>
            <w:tcW w:w="8642" w:type="dxa"/>
            <w:gridSpan w:val="5"/>
          </w:tcPr>
          <w:p w:rsidR="00AA49A4" w:rsidRPr="00F81638" w:rsidRDefault="00AA49A4" w:rsidP="00AA49A4">
            <w:pPr>
              <w:pStyle w:val="a8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F81638">
              <w:rPr>
                <w:szCs w:val="21"/>
              </w:rPr>
              <w:t>Sorption process and mechanism of CBM (coalbed methane) under reservoir condition.</w:t>
            </w:r>
          </w:p>
          <w:p w:rsidR="00AA49A4" w:rsidRPr="00F81638" w:rsidRDefault="00AA49A4" w:rsidP="007810C1">
            <w:pPr>
              <w:pStyle w:val="a8"/>
              <w:numPr>
                <w:ilvl w:val="0"/>
                <w:numId w:val="1"/>
              </w:numPr>
              <w:ind w:firstLineChars="0"/>
              <w:rPr>
                <w:spacing w:val="-2"/>
                <w:szCs w:val="28"/>
                <w:lang w:val="en-GB"/>
              </w:rPr>
            </w:pPr>
            <w:r w:rsidRPr="00F81638">
              <w:rPr>
                <w:szCs w:val="21"/>
              </w:rPr>
              <w:t xml:space="preserve">Flow </w:t>
            </w:r>
            <w:r w:rsidR="007810C1" w:rsidRPr="00F81638">
              <w:rPr>
                <w:szCs w:val="21"/>
              </w:rPr>
              <w:t xml:space="preserve">mechanism and reservoir simulation </w:t>
            </w:r>
            <w:r w:rsidRPr="00F81638">
              <w:rPr>
                <w:szCs w:val="21"/>
              </w:rPr>
              <w:t xml:space="preserve">in </w:t>
            </w:r>
            <w:r w:rsidR="007810C1" w:rsidRPr="00F81638">
              <w:rPr>
                <w:szCs w:val="21"/>
              </w:rPr>
              <w:t>oil and gas reservoir</w:t>
            </w:r>
          </w:p>
        </w:tc>
      </w:tr>
      <w:tr w:rsidR="00872DF1" w:rsidRPr="00F81638" w:rsidTr="00766B36">
        <w:tblPrEx>
          <w:shd w:val="clear" w:color="auto" w:fill="auto"/>
        </w:tblPrEx>
        <w:tc>
          <w:tcPr>
            <w:tcW w:w="8642" w:type="dxa"/>
            <w:gridSpan w:val="5"/>
            <w:shd w:val="clear" w:color="auto" w:fill="A6A6A6" w:themeFill="background1" w:themeFillShade="A6"/>
          </w:tcPr>
          <w:p w:rsidR="00872DF1" w:rsidRPr="00F81638" w:rsidRDefault="00872DF1" w:rsidP="00720DD6">
            <w:pPr>
              <w:spacing w:line="360" w:lineRule="auto"/>
              <w:rPr>
                <w:b/>
                <w:szCs w:val="21"/>
              </w:rPr>
            </w:pPr>
            <w:r w:rsidRPr="00F81638">
              <w:rPr>
                <w:rFonts w:hint="eastAsia"/>
                <w:b/>
                <w:szCs w:val="21"/>
              </w:rPr>
              <w:t xml:space="preserve">Awards </w:t>
            </w:r>
            <w:r w:rsidRPr="00F81638">
              <w:rPr>
                <w:b/>
                <w:szCs w:val="21"/>
              </w:rPr>
              <w:t xml:space="preserve">and honors </w:t>
            </w:r>
          </w:p>
        </w:tc>
      </w:tr>
      <w:tr w:rsidR="00872DF1" w:rsidRPr="00F81638" w:rsidTr="00872DF1">
        <w:tblPrEx>
          <w:shd w:val="clear" w:color="auto" w:fill="auto"/>
        </w:tblPrEx>
        <w:tc>
          <w:tcPr>
            <w:tcW w:w="8642" w:type="dxa"/>
            <w:gridSpan w:val="5"/>
          </w:tcPr>
          <w:p w:rsidR="00872DF1" w:rsidRPr="00F81638" w:rsidRDefault="00872DF1" w:rsidP="00872DF1">
            <w:pPr>
              <w:pStyle w:val="a8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F81638">
              <w:rPr>
                <w:szCs w:val="21"/>
              </w:rPr>
              <w:t>2009.11</w:t>
            </w:r>
            <w:r w:rsidR="00720DD6" w:rsidRPr="00F81638">
              <w:rPr>
                <w:szCs w:val="21"/>
              </w:rPr>
              <w:t>,</w:t>
            </w:r>
            <w:r w:rsidRPr="00F81638">
              <w:rPr>
                <w:szCs w:val="21"/>
              </w:rPr>
              <w:t xml:space="preserve"> China National Scholarship for undergraduate student.</w:t>
            </w:r>
          </w:p>
          <w:p w:rsidR="00872DF1" w:rsidRPr="00F81638" w:rsidRDefault="00872DF1" w:rsidP="00872DF1">
            <w:pPr>
              <w:pStyle w:val="a8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F81638">
              <w:rPr>
                <w:szCs w:val="21"/>
              </w:rPr>
              <w:t>2012.</w:t>
            </w:r>
            <w:r w:rsidR="00720DD6" w:rsidRPr="00F81638">
              <w:rPr>
                <w:szCs w:val="21"/>
              </w:rPr>
              <w:t>0</w:t>
            </w:r>
            <w:r w:rsidRPr="00F81638">
              <w:rPr>
                <w:szCs w:val="21"/>
              </w:rPr>
              <w:t>2</w:t>
            </w:r>
            <w:r w:rsidR="00720DD6" w:rsidRPr="00F81638">
              <w:rPr>
                <w:szCs w:val="21"/>
              </w:rPr>
              <w:t>,</w:t>
            </w:r>
            <w:r w:rsidRPr="00F81638">
              <w:rPr>
                <w:szCs w:val="21"/>
              </w:rPr>
              <w:t xml:space="preserve"> </w:t>
            </w:r>
            <w:r w:rsidRPr="001269E1">
              <w:rPr>
                <w:b/>
                <w:szCs w:val="21"/>
              </w:rPr>
              <w:t>First place winner</w:t>
            </w:r>
            <w:r w:rsidRPr="00F81638">
              <w:rPr>
                <w:szCs w:val="21"/>
              </w:rPr>
              <w:t xml:space="preserve"> of IPTC Education Week Project Contest, held by SPE, in Bangkok, Thailand.</w:t>
            </w:r>
          </w:p>
          <w:p w:rsidR="00872DF1" w:rsidRPr="00F81638" w:rsidRDefault="00872DF1" w:rsidP="00872DF1">
            <w:pPr>
              <w:pStyle w:val="a8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F81638">
              <w:rPr>
                <w:szCs w:val="21"/>
              </w:rPr>
              <w:t>2012.10</w:t>
            </w:r>
            <w:r w:rsidR="00720DD6" w:rsidRPr="00F81638">
              <w:rPr>
                <w:szCs w:val="21"/>
              </w:rPr>
              <w:t>,</w:t>
            </w:r>
            <w:r w:rsidRPr="00F81638">
              <w:rPr>
                <w:szCs w:val="21"/>
              </w:rPr>
              <w:t xml:space="preserve"> </w:t>
            </w:r>
            <w:r w:rsidRPr="001269E1">
              <w:rPr>
                <w:b/>
                <w:szCs w:val="21"/>
              </w:rPr>
              <w:t xml:space="preserve">First place winner </w:t>
            </w:r>
            <w:r w:rsidRPr="00F81638">
              <w:rPr>
                <w:szCs w:val="21"/>
              </w:rPr>
              <w:t>of APOGCE Asia-Pacific Student Paper Contest</w:t>
            </w:r>
            <w:r w:rsidR="00720DD6" w:rsidRPr="00F81638">
              <w:rPr>
                <w:rFonts w:hint="eastAsia"/>
                <w:szCs w:val="21"/>
              </w:rPr>
              <w:t>,</w:t>
            </w:r>
            <w:r w:rsidR="00720DD6" w:rsidRPr="00F81638">
              <w:rPr>
                <w:szCs w:val="21"/>
              </w:rPr>
              <w:t xml:space="preserve"> </w:t>
            </w:r>
            <w:r w:rsidRPr="00F81638">
              <w:rPr>
                <w:szCs w:val="21"/>
              </w:rPr>
              <w:t>undergraduate group, held by SPE, in Perth, Australia.</w:t>
            </w:r>
          </w:p>
          <w:p w:rsidR="00872DF1" w:rsidRPr="00F81638" w:rsidRDefault="00872DF1" w:rsidP="00872DF1">
            <w:pPr>
              <w:pStyle w:val="a8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F81638">
              <w:rPr>
                <w:szCs w:val="21"/>
              </w:rPr>
              <w:t>2013.10</w:t>
            </w:r>
            <w:r w:rsidR="00720DD6" w:rsidRPr="00F81638">
              <w:rPr>
                <w:szCs w:val="21"/>
              </w:rPr>
              <w:t>,</w:t>
            </w:r>
            <w:r w:rsidRPr="00F81638">
              <w:rPr>
                <w:szCs w:val="21"/>
              </w:rPr>
              <w:t xml:space="preserve"> </w:t>
            </w:r>
            <w:r w:rsidRPr="001269E1">
              <w:rPr>
                <w:b/>
                <w:szCs w:val="21"/>
              </w:rPr>
              <w:t xml:space="preserve">First place winner </w:t>
            </w:r>
            <w:r w:rsidRPr="00F81638">
              <w:rPr>
                <w:szCs w:val="21"/>
              </w:rPr>
              <w:t xml:space="preserve">of ATCE International Student Paper Contest, undergraduate group, held by SPE, in New Orleans, U.S.A. </w:t>
            </w:r>
          </w:p>
          <w:p w:rsidR="00872DF1" w:rsidRPr="00F81638" w:rsidRDefault="00872DF1" w:rsidP="00872DF1">
            <w:pPr>
              <w:pStyle w:val="a8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F81638">
              <w:rPr>
                <w:szCs w:val="21"/>
              </w:rPr>
              <w:t>2013.11</w:t>
            </w:r>
            <w:r w:rsidR="00720DD6" w:rsidRPr="00F81638">
              <w:rPr>
                <w:szCs w:val="21"/>
              </w:rPr>
              <w:t>,</w:t>
            </w:r>
            <w:r w:rsidRPr="00F81638">
              <w:rPr>
                <w:szCs w:val="21"/>
              </w:rPr>
              <w:t xml:space="preserve"> Chevron Scholarship for Ph.D. student.</w:t>
            </w:r>
          </w:p>
          <w:p w:rsidR="00872DF1" w:rsidRPr="00F81638" w:rsidRDefault="00872DF1" w:rsidP="00872DF1">
            <w:pPr>
              <w:pStyle w:val="a8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F81638">
              <w:rPr>
                <w:szCs w:val="21"/>
              </w:rPr>
              <w:t>2014.11</w:t>
            </w:r>
            <w:r w:rsidR="00720DD6" w:rsidRPr="00F81638">
              <w:rPr>
                <w:szCs w:val="21"/>
              </w:rPr>
              <w:t>,</w:t>
            </w:r>
            <w:r w:rsidRPr="00F81638">
              <w:rPr>
                <w:szCs w:val="21"/>
              </w:rPr>
              <w:t xml:space="preserve"> China National Scholarship for Ph.D. student.</w:t>
            </w:r>
          </w:p>
          <w:p w:rsidR="00151C99" w:rsidRPr="00F81638" w:rsidRDefault="00151C99" w:rsidP="00151C99">
            <w:pPr>
              <w:pStyle w:val="a8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F81638">
              <w:rPr>
                <w:szCs w:val="21"/>
              </w:rPr>
              <w:t>2015.10, the third-class Scholarship for Ph.D. student.</w:t>
            </w:r>
          </w:p>
          <w:p w:rsidR="00151C99" w:rsidRPr="00F81638" w:rsidRDefault="00123556" w:rsidP="00151C99">
            <w:pPr>
              <w:pStyle w:val="a8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F81638">
              <w:rPr>
                <w:szCs w:val="21"/>
              </w:rPr>
              <w:t>2016.10, the first-class Scholarship for Ph.D. student.</w:t>
            </w:r>
          </w:p>
          <w:p w:rsidR="00123556" w:rsidRPr="00F81638" w:rsidRDefault="00123556" w:rsidP="00123556">
            <w:pPr>
              <w:pStyle w:val="a8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F81638">
              <w:rPr>
                <w:szCs w:val="21"/>
              </w:rPr>
              <w:t xml:space="preserve">2017.6, the Scholarship for </w:t>
            </w:r>
            <w:r w:rsidRPr="00F81638">
              <w:rPr>
                <w:rFonts w:hint="eastAsia"/>
                <w:szCs w:val="21"/>
              </w:rPr>
              <w:t xml:space="preserve">visiting </w:t>
            </w:r>
            <w:r w:rsidRPr="00F81638">
              <w:rPr>
                <w:szCs w:val="21"/>
              </w:rPr>
              <w:t xml:space="preserve">Ph.D. student </w:t>
            </w:r>
            <w:r w:rsidRPr="00F81638">
              <w:rPr>
                <w:rFonts w:hint="eastAsia"/>
                <w:szCs w:val="21"/>
              </w:rPr>
              <w:t>in Australia</w:t>
            </w:r>
            <w:r w:rsidRPr="00F81638">
              <w:rPr>
                <w:szCs w:val="21"/>
              </w:rPr>
              <w:t>.</w:t>
            </w:r>
          </w:p>
        </w:tc>
      </w:tr>
      <w:tr w:rsidR="00872DF1" w:rsidRPr="00F81638" w:rsidTr="00766B36">
        <w:tblPrEx>
          <w:shd w:val="clear" w:color="auto" w:fill="auto"/>
        </w:tblPrEx>
        <w:tc>
          <w:tcPr>
            <w:tcW w:w="8642" w:type="dxa"/>
            <w:gridSpan w:val="5"/>
            <w:shd w:val="clear" w:color="auto" w:fill="A6A6A6" w:themeFill="background1" w:themeFillShade="A6"/>
          </w:tcPr>
          <w:p w:rsidR="00872DF1" w:rsidRPr="00F81638" w:rsidRDefault="00872DF1" w:rsidP="00720DD6">
            <w:pPr>
              <w:spacing w:line="360" w:lineRule="auto"/>
              <w:rPr>
                <w:b/>
                <w:szCs w:val="21"/>
              </w:rPr>
            </w:pPr>
            <w:r w:rsidRPr="00F81638">
              <w:rPr>
                <w:rFonts w:hint="eastAsia"/>
                <w:b/>
                <w:szCs w:val="21"/>
              </w:rPr>
              <w:t xml:space="preserve">Social </w:t>
            </w:r>
            <w:r w:rsidR="00AA49A4" w:rsidRPr="00F81638">
              <w:rPr>
                <w:b/>
                <w:szCs w:val="21"/>
              </w:rPr>
              <w:t>work</w:t>
            </w:r>
          </w:p>
        </w:tc>
      </w:tr>
      <w:tr w:rsidR="00872DF1" w:rsidRPr="00F81638" w:rsidTr="00872DF1">
        <w:tblPrEx>
          <w:shd w:val="clear" w:color="auto" w:fill="auto"/>
        </w:tblPrEx>
        <w:tc>
          <w:tcPr>
            <w:tcW w:w="8642" w:type="dxa"/>
            <w:gridSpan w:val="5"/>
          </w:tcPr>
          <w:p w:rsidR="00872DF1" w:rsidRPr="00F81638" w:rsidRDefault="00872DF1" w:rsidP="00872DF1">
            <w:pPr>
              <w:pStyle w:val="a8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F81638">
              <w:rPr>
                <w:rFonts w:hint="eastAsia"/>
                <w:szCs w:val="21"/>
              </w:rPr>
              <w:t>201</w:t>
            </w:r>
            <w:r w:rsidRPr="00F81638">
              <w:rPr>
                <w:szCs w:val="21"/>
              </w:rPr>
              <w:t xml:space="preserve">3.4 – </w:t>
            </w:r>
            <w:r w:rsidRPr="00F81638">
              <w:rPr>
                <w:rFonts w:hint="eastAsia"/>
                <w:szCs w:val="21"/>
              </w:rPr>
              <w:t>2014</w:t>
            </w:r>
            <w:r w:rsidRPr="00F81638">
              <w:rPr>
                <w:szCs w:val="21"/>
              </w:rPr>
              <w:t>.04 President of SWPU SPE student chapter</w:t>
            </w:r>
          </w:p>
        </w:tc>
      </w:tr>
      <w:tr w:rsidR="00872DF1" w:rsidRPr="00F81638" w:rsidTr="00766B36">
        <w:tblPrEx>
          <w:shd w:val="clear" w:color="auto" w:fill="auto"/>
        </w:tblPrEx>
        <w:tc>
          <w:tcPr>
            <w:tcW w:w="8642" w:type="dxa"/>
            <w:gridSpan w:val="5"/>
            <w:shd w:val="clear" w:color="auto" w:fill="A6A6A6" w:themeFill="background1" w:themeFillShade="A6"/>
          </w:tcPr>
          <w:p w:rsidR="00872DF1" w:rsidRPr="00F81638" w:rsidRDefault="005F5879" w:rsidP="00720DD6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Academic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introduction</w:t>
            </w:r>
          </w:p>
        </w:tc>
      </w:tr>
      <w:tr w:rsidR="00872DF1" w:rsidRPr="00F81638" w:rsidTr="00872DF1">
        <w:tblPrEx>
          <w:shd w:val="clear" w:color="auto" w:fill="auto"/>
        </w:tblPrEx>
        <w:tc>
          <w:tcPr>
            <w:tcW w:w="8642" w:type="dxa"/>
            <w:gridSpan w:val="5"/>
          </w:tcPr>
          <w:p w:rsidR="003F04EA" w:rsidRPr="00F81638" w:rsidRDefault="00872DF1" w:rsidP="001269E1">
            <w:pPr>
              <w:tabs>
                <w:tab w:val="left" w:pos="615"/>
              </w:tabs>
              <w:ind w:firstLineChars="200" w:firstLine="400"/>
              <w:rPr>
                <w:szCs w:val="21"/>
              </w:rPr>
            </w:pPr>
            <w:bookmarkStart w:id="0" w:name="OLE_LINK1"/>
            <w:bookmarkStart w:id="1" w:name="OLE_LINK2"/>
            <w:r w:rsidRPr="00F81638">
              <w:rPr>
                <w:szCs w:val="21"/>
              </w:rPr>
              <w:t xml:space="preserve">Suyang Zhu’s research explores the problem of current </w:t>
            </w:r>
            <w:r w:rsidR="00720DD6" w:rsidRPr="00F81638">
              <w:rPr>
                <w:szCs w:val="21"/>
              </w:rPr>
              <w:t>CBM (</w:t>
            </w:r>
            <w:r w:rsidRPr="00F81638">
              <w:rPr>
                <w:szCs w:val="21"/>
              </w:rPr>
              <w:t>coalbed methane</w:t>
            </w:r>
            <w:r w:rsidR="00720DD6" w:rsidRPr="00F81638">
              <w:rPr>
                <w:szCs w:val="21"/>
              </w:rPr>
              <w:t>)</w:t>
            </w:r>
            <w:r w:rsidRPr="00F81638">
              <w:rPr>
                <w:szCs w:val="21"/>
              </w:rPr>
              <w:t xml:space="preserve"> sorption theory and indicates that gas phase sorption should not be applied to explain the methane sorption state under reservoir condition. </w:t>
            </w:r>
            <w:r w:rsidR="00720DD6" w:rsidRPr="00F81638">
              <w:rPr>
                <w:szCs w:val="21"/>
              </w:rPr>
              <w:t xml:space="preserve">Then </w:t>
            </w:r>
            <w:r w:rsidRPr="00F81638">
              <w:rPr>
                <w:szCs w:val="21"/>
              </w:rPr>
              <w:t xml:space="preserve">he </w:t>
            </w:r>
            <w:r w:rsidR="00720DD6" w:rsidRPr="00F81638">
              <w:rPr>
                <w:szCs w:val="21"/>
              </w:rPr>
              <w:t xml:space="preserve">adopts the liquid phase sorption theory in CBM sorption study and </w:t>
            </w:r>
            <w:r w:rsidRPr="00F81638">
              <w:rPr>
                <w:szCs w:val="21"/>
              </w:rPr>
              <w:t>put</w:t>
            </w:r>
            <w:r w:rsidR="00720DD6" w:rsidRPr="00F81638">
              <w:rPr>
                <w:szCs w:val="21"/>
              </w:rPr>
              <w:t xml:space="preserve"> forward the CBM</w:t>
            </w:r>
            <w:r w:rsidRPr="00F81638">
              <w:rPr>
                <w:szCs w:val="21"/>
              </w:rPr>
              <w:t xml:space="preserve"> compound deso</w:t>
            </w:r>
            <w:r w:rsidR="00720DD6" w:rsidRPr="00F81638">
              <w:rPr>
                <w:szCs w:val="21"/>
              </w:rPr>
              <w:t xml:space="preserve">rption theory individually, </w:t>
            </w:r>
            <w:r w:rsidRPr="00F81638">
              <w:rPr>
                <w:szCs w:val="21"/>
              </w:rPr>
              <w:t xml:space="preserve">which represents the tight porous media influence on methane desorption </w:t>
            </w:r>
            <w:r w:rsidR="00720DD6" w:rsidRPr="00F81638">
              <w:rPr>
                <w:szCs w:val="21"/>
              </w:rPr>
              <w:t xml:space="preserve">process </w:t>
            </w:r>
            <w:r w:rsidRPr="00F81638">
              <w:rPr>
                <w:szCs w:val="21"/>
              </w:rPr>
              <w:t xml:space="preserve">in coalbed, with </w:t>
            </w:r>
            <w:r w:rsidR="003F04EA">
              <w:rPr>
                <w:szCs w:val="21"/>
              </w:rPr>
              <w:t>2</w:t>
            </w:r>
            <w:r w:rsidRPr="00F81638">
              <w:rPr>
                <w:szCs w:val="21"/>
              </w:rPr>
              <w:t>5 papers published</w:t>
            </w:r>
            <w:r w:rsidR="003F04EA">
              <w:rPr>
                <w:szCs w:val="21"/>
              </w:rPr>
              <w:t xml:space="preserve"> (1</w:t>
            </w:r>
            <w:r w:rsidR="005F5BCA">
              <w:rPr>
                <w:szCs w:val="21"/>
              </w:rPr>
              <w:t>1</w:t>
            </w:r>
            <w:r w:rsidR="003F04EA">
              <w:rPr>
                <w:szCs w:val="21"/>
              </w:rPr>
              <w:t xml:space="preserve"> </w:t>
            </w:r>
            <w:r w:rsidR="003F04EA">
              <w:rPr>
                <w:rFonts w:hint="eastAsia"/>
                <w:szCs w:val="21"/>
              </w:rPr>
              <w:t xml:space="preserve">papers in </w:t>
            </w:r>
            <w:proofErr w:type="gramStart"/>
            <w:r w:rsidR="003F04EA">
              <w:rPr>
                <w:rFonts w:hint="eastAsia"/>
                <w:szCs w:val="21"/>
              </w:rPr>
              <w:t xml:space="preserve">English </w:t>
            </w:r>
            <w:r w:rsidR="003F04EA">
              <w:rPr>
                <w:szCs w:val="21"/>
              </w:rPr>
              <w:t>)</w:t>
            </w:r>
            <w:proofErr w:type="gramEnd"/>
            <w:r w:rsidRPr="00F81638">
              <w:rPr>
                <w:szCs w:val="21"/>
              </w:rPr>
              <w:t>.</w:t>
            </w:r>
            <w:bookmarkEnd w:id="0"/>
            <w:bookmarkEnd w:id="1"/>
            <w:r w:rsidR="005F5879">
              <w:rPr>
                <w:szCs w:val="21"/>
              </w:rPr>
              <w:t xml:space="preserve"> </w:t>
            </w:r>
            <w:r w:rsidR="005F5879">
              <w:rPr>
                <w:rFonts w:hint="eastAsia"/>
                <w:szCs w:val="21"/>
              </w:rPr>
              <w:t>He</w:t>
            </w:r>
            <w:r w:rsidR="005F5879">
              <w:rPr>
                <w:szCs w:val="21"/>
              </w:rPr>
              <w:t xml:space="preserve"> </w:t>
            </w:r>
            <w:r w:rsidR="005F5879">
              <w:rPr>
                <w:rFonts w:hint="eastAsia"/>
                <w:szCs w:val="21"/>
              </w:rPr>
              <w:t>also</w:t>
            </w:r>
            <w:r w:rsidR="005F5879">
              <w:rPr>
                <w:szCs w:val="21"/>
              </w:rPr>
              <w:t xml:space="preserve"> </w:t>
            </w:r>
            <w:r w:rsidR="005F5879">
              <w:rPr>
                <w:rFonts w:hint="eastAsia"/>
                <w:szCs w:val="21"/>
              </w:rPr>
              <w:t>focuses</w:t>
            </w:r>
            <w:r w:rsidR="005F5879">
              <w:rPr>
                <w:szCs w:val="21"/>
              </w:rPr>
              <w:t xml:space="preserve"> </w:t>
            </w:r>
            <w:r w:rsidR="005F5879">
              <w:rPr>
                <w:rFonts w:hint="eastAsia"/>
                <w:szCs w:val="21"/>
              </w:rPr>
              <w:t>on</w:t>
            </w:r>
            <w:r w:rsidR="005F5879">
              <w:rPr>
                <w:szCs w:val="21"/>
              </w:rPr>
              <w:t xml:space="preserve"> </w:t>
            </w:r>
            <w:r w:rsidR="005F5879">
              <w:rPr>
                <w:rFonts w:hint="eastAsia"/>
                <w:szCs w:val="21"/>
              </w:rPr>
              <w:t>the</w:t>
            </w:r>
            <w:r w:rsidR="005F5879">
              <w:rPr>
                <w:szCs w:val="21"/>
              </w:rPr>
              <w:t xml:space="preserve"> </w:t>
            </w:r>
            <w:r w:rsidR="005F5879">
              <w:rPr>
                <w:rFonts w:hint="eastAsia"/>
                <w:szCs w:val="21"/>
              </w:rPr>
              <w:t>transport</w:t>
            </w:r>
            <w:r w:rsidR="005F5879">
              <w:rPr>
                <w:szCs w:val="21"/>
              </w:rPr>
              <w:t xml:space="preserve"> </w:t>
            </w:r>
            <w:r w:rsidR="005F5879">
              <w:rPr>
                <w:rFonts w:hint="eastAsia"/>
                <w:szCs w:val="21"/>
              </w:rPr>
              <w:t>phenomenon</w:t>
            </w:r>
            <w:r w:rsidR="005F5879">
              <w:rPr>
                <w:szCs w:val="21"/>
              </w:rPr>
              <w:t xml:space="preserve"> </w:t>
            </w:r>
            <w:r w:rsidR="005F5879">
              <w:rPr>
                <w:rFonts w:hint="eastAsia"/>
                <w:szCs w:val="21"/>
              </w:rPr>
              <w:t>in</w:t>
            </w:r>
            <w:r w:rsidR="005F5879">
              <w:rPr>
                <w:szCs w:val="21"/>
              </w:rPr>
              <w:t xml:space="preserve"> </w:t>
            </w:r>
            <w:r w:rsidR="005F5879">
              <w:rPr>
                <w:rFonts w:hint="eastAsia"/>
                <w:szCs w:val="21"/>
              </w:rPr>
              <w:t>tight</w:t>
            </w:r>
            <w:r w:rsidR="005F5879">
              <w:rPr>
                <w:szCs w:val="21"/>
              </w:rPr>
              <w:t xml:space="preserve"> </w:t>
            </w:r>
            <w:r w:rsidR="005F5879">
              <w:rPr>
                <w:rFonts w:hint="eastAsia"/>
                <w:szCs w:val="21"/>
              </w:rPr>
              <w:t>porous</w:t>
            </w:r>
            <w:r w:rsidR="005F5879">
              <w:rPr>
                <w:szCs w:val="21"/>
              </w:rPr>
              <w:t xml:space="preserve"> </w:t>
            </w:r>
            <w:r w:rsidR="005F5879">
              <w:rPr>
                <w:rFonts w:hint="eastAsia"/>
                <w:szCs w:val="21"/>
              </w:rPr>
              <w:t>media</w:t>
            </w:r>
            <w:r w:rsidR="005F5879">
              <w:rPr>
                <w:szCs w:val="21"/>
              </w:rPr>
              <w:t xml:space="preserve"> </w:t>
            </w:r>
            <w:r w:rsidR="005F5879">
              <w:rPr>
                <w:rFonts w:hint="eastAsia"/>
                <w:szCs w:val="21"/>
              </w:rPr>
              <w:t>and</w:t>
            </w:r>
            <w:r w:rsidR="005F5879">
              <w:rPr>
                <w:szCs w:val="21"/>
              </w:rPr>
              <w:t xml:space="preserve"> </w:t>
            </w:r>
            <w:r w:rsidR="005F5879">
              <w:rPr>
                <w:rFonts w:hint="eastAsia"/>
                <w:szCs w:val="21"/>
              </w:rPr>
              <w:t>the</w:t>
            </w:r>
            <w:r w:rsidR="005F5879">
              <w:rPr>
                <w:szCs w:val="21"/>
              </w:rPr>
              <w:t xml:space="preserve"> </w:t>
            </w:r>
            <w:r w:rsidR="005F5879">
              <w:rPr>
                <w:rFonts w:hint="eastAsia"/>
                <w:szCs w:val="21"/>
              </w:rPr>
              <w:t>simulation</w:t>
            </w:r>
            <w:r w:rsidR="005F5879">
              <w:rPr>
                <w:szCs w:val="21"/>
              </w:rPr>
              <w:t xml:space="preserve"> </w:t>
            </w:r>
            <w:r w:rsidR="005F5879">
              <w:rPr>
                <w:rFonts w:hint="eastAsia"/>
                <w:szCs w:val="21"/>
              </w:rPr>
              <w:t>application</w:t>
            </w:r>
            <w:r w:rsidR="005F5879">
              <w:rPr>
                <w:szCs w:val="21"/>
              </w:rPr>
              <w:t xml:space="preserve"> </w:t>
            </w:r>
            <w:r w:rsidR="005F5879">
              <w:rPr>
                <w:rFonts w:hint="eastAsia"/>
                <w:szCs w:val="21"/>
              </w:rPr>
              <w:t>in</w:t>
            </w:r>
            <w:r w:rsidR="005F5879">
              <w:rPr>
                <w:szCs w:val="21"/>
              </w:rPr>
              <w:t xml:space="preserve"> </w:t>
            </w:r>
            <w:r w:rsidR="005F5879">
              <w:rPr>
                <w:rFonts w:hint="eastAsia"/>
                <w:szCs w:val="21"/>
              </w:rPr>
              <w:t>petroleum</w:t>
            </w:r>
            <w:r w:rsidR="005F5879">
              <w:rPr>
                <w:szCs w:val="21"/>
              </w:rPr>
              <w:t xml:space="preserve"> </w:t>
            </w:r>
            <w:r w:rsidR="005F5879">
              <w:rPr>
                <w:rFonts w:hint="eastAsia"/>
                <w:szCs w:val="21"/>
              </w:rPr>
              <w:t>production</w:t>
            </w:r>
            <w:r w:rsidR="005F5879">
              <w:rPr>
                <w:szCs w:val="21"/>
              </w:rPr>
              <w:t>.</w:t>
            </w:r>
          </w:p>
        </w:tc>
      </w:tr>
      <w:tr w:rsidR="003F04EA" w:rsidRPr="00F81638" w:rsidTr="003F04EA">
        <w:tblPrEx>
          <w:shd w:val="clear" w:color="auto" w:fill="auto"/>
        </w:tblPrEx>
        <w:tc>
          <w:tcPr>
            <w:tcW w:w="8642" w:type="dxa"/>
            <w:gridSpan w:val="5"/>
            <w:shd w:val="clear" w:color="auto" w:fill="AEAAAA" w:themeFill="background2" w:themeFillShade="BF"/>
          </w:tcPr>
          <w:p w:rsidR="003F04EA" w:rsidRPr="00F81638" w:rsidRDefault="003F04EA" w:rsidP="003F04EA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Publication</w:t>
            </w:r>
            <w:r w:rsidR="005F5879">
              <w:rPr>
                <w:rFonts w:hint="eastAsia"/>
                <w:b/>
                <w:szCs w:val="21"/>
              </w:rPr>
              <w:t>s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3F04EA" w:rsidRPr="00F81638" w:rsidTr="00872DF1">
        <w:tblPrEx>
          <w:shd w:val="clear" w:color="auto" w:fill="auto"/>
        </w:tblPrEx>
        <w:tc>
          <w:tcPr>
            <w:tcW w:w="8642" w:type="dxa"/>
            <w:gridSpan w:val="5"/>
          </w:tcPr>
          <w:p w:rsidR="003F04EA" w:rsidRPr="003F04EA" w:rsidRDefault="003F04EA" w:rsidP="005F5BCA">
            <w:pPr>
              <w:snapToGrid w:val="0"/>
              <w:spacing w:line="300" w:lineRule="auto"/>
              <w:ind w:left="386" w:hangingChars="193" w:hanging="386"/>
              <w:rPr>
                <w:color w:val="000000"/>
                <w:szCs w:val="21"/>
              </w:rPr>
            </w:pPr>
            <w:r w:rsidRPr="003F04EA">
              <w:rPr>
                <w:color w:val="000000"/>
                <w:szCs w:val="21"/>
              </w:rPr>
              <w:t xml:space="preserve">[1] </w:t>
            </w:r>
            <w:r w:rsidRPr="003F04EA">
              <w:rPr>
                <w:b/>
                <w:color w:val="000000"/>
                <w:szCs w:val="21"/>
              </w:rPr>
              <w:t>Zhu S</w:t>
            </w:r>
            <w:r w:rsidR="00AD36ED">
              <w:rPr>
                <w:b/>
                <w:color w:val="000000"/>
                <w:szCs w:val="21"/>
              </w:rPr>
              <w:t>.</w:t>
            </w:r>
            <w:r w:rsidRPr="003F04EA">
              <w:rPr>
                <w:color w:val="000000"/>
                <w:szCs w:val="21"/>
              </w:rPr>
              <w:t>, Du Z</w:t>
            </w:r>
            <w:r w:rsidR="00AD36ED">
              <w:rPr>
                <w:color w:val="000000"/>
                <w:szCs w:val="21"/>
              </w:rPr>
              <w:t>.</w:t>
            </w:r>
            <w:r w:rsidRPr="003F04EA">
              <w:rPr>
                <w:color w:val="000000"/>
                <w:szCs w:val="21"/>
              </w:rPr>
              <w:t>, Li C</w:t>
            </w:r>
            <w:r w:rsidR="00AD36ED">
              <w:rPr>
                <w:color w:val="000000"/>
                <w:szCs w:val="21"/>
              </w:rPr>
              <w:t>.</w:t>
            </w:r>
            <w:r w:rsidRPr="003F04EA">
              <w:rPr>
                <w:color w:val="000000"/>
                <w:szCs w:val="21"/>
              </w:rPr>
              <w:t xml:space="preserve">, et al. A Semi-analytical Model for Pressure-Dependent Permeability of Tight Sandstone Reservoirs [J]. Transport in Porous Media, 2018, 122(2): 235-52. </w:t>
            </w:r>
          </w:p>
          <w:p w:rsidR="003F04EA" w:rsidRPr="003F04EA" w:rsidRDefault="003F04EA" w:rsidP="005F5BCA">
            <w:pPr>
              <w:snapToGrid w:val="0"/>
              <w:spacing w:line="300" w:lineRule="auto"/>
              <w:ind w:left="386" w:hangingChars="193" w:hanging="386"/>
              <w:rPr>
                <w:color w:val="000000"/>
                <w:szCs w:val="21"/>
              </w:rPr>
            </w:pPr>
            <w:r w:rsidRPr="003F04EA">
              <w:rPr>
                <w:color w:val="000000"/>
                <w:szCs w:val="21"/>
              </w:rPr>
              <w:t xml:space="preserve">[2] </w:t>
            </w:r>
            <w:r w:rsidRPr="003F04EA">
              <w:rPr>
                <w:b/>
                <w:color w:val="000000"/>
                <w:szCs w:val="21"/>
              </w:rPr>
              <w:t>Zhu S</w:t>
            </w:r>
            <w:r w:rsidR="00AD36ED">
              <w:rPr>
                <w:b/>
                <w:color w:val="000000"/>
                <w:szCs w:val="21"/>
              </w:rPr>
              <w:t>.</w:t>
            </w:r>
            <w:r w:rsidRPr="003F04EA">
              <w:rPr>
                <w:color w:val="000000"/>
                <w:szCs w:val="21"/>
              </w:rPr>
              <w:t>, Peng X</w:t>
            </w:r>
            <w:r w:rsidR="00AD36ED">
              <w:rPr>
                <w:color w:val="000000"/>
                <w:szCs w:val="21"/>
              </w:rPr>
              <w:t>.</w:t>
            </w:r>
            <w:r w:rsidRPr="003F04EA">
              <w:rPr>
                <w:color w:val="000000"/>
                <w:szCs w:val="21"/>
              </w:rPr>
              <w:t>, Du Z</w:t>
            </w:r>
            <w:r w:rsidR="00AD36ED">
              <w:rPr>
                <w:color w:val="000000"/>
                <w:szCs w:val="21"/>
              </w:rPr>
              <w:t>.</w:t>
            </w:r>
            <w:r w:rsidRPr="003F04EA">
              <w:rPr>
                <w:color w:val="000000"/>
                <w:szCs w:val="21"/>
              </w:rPr>
              <w:t>, et al. Modeling of Coal Fine Migration During CBM Production in High-Rank Coal [J]. Transport in Porous Media, 2017, 118(1): 65-83.</w:t>
            </w:r>
            <w:r w:rsidRPr="003F04EA"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3F04EA" w:rsidRPr="003F04EA" w:rsidRDefault="003F04EA" w:rsidP="005F5BCA">
            <w:pPr>
              <w:snapToGrid w:val="0"/>
              <w:spacing w:line="300" w:lineRule="auto"/>
              <w:ind w:left="386" w:hangingChars="193" w:hanging="386"/>
              <w:rPr>
                <w:color w:val="000000"/>
                <w:szCs w:val="21"/>
              </w:rPr>
            </w:pPr>
            <w:r w:rsidRPr="003F04EA">
              <w:rPr>
                <w:color w:val="000000"/>
                <w:szCs w:val="21"/>
              </w:rPr>
              <w:t xml:space="preserve">[3] </w:t>
            </w:r>
            <w:r w:rsidR="00AD36ED" w:rsidRPr="003F04EA">
              <w:rPr>
                <w:b/>
                <w:color w:val="000000"/>
                <w:szCs w:val="21"/>
              </w:rPr>
              <w:t xml:space="preserve">Zhu </w:t>
            </w:r>
            <w:proofErr w:type="gramStart"/>
            <w:r w:rsidR="00AD36ED" w:rsidRPr="003F04EA">
              <w:rPr>
                <w:b/>
                <w:color w:val="000000"/>
                <w:szCs w:val="21"/>
              </w:rPr>
              <w:t>S</w:t>
            </w:r>
            <w:r w:rsidRPr="003F04EA">
              <w:rPr>
                <w:color w:val="000000"/>
                <w:szCs w:val="21"/>
              </w:rPr>
              <w:t>,</w:t>
            </w:r>
            <w:r w:rsidR="00AD36ED">
              <w:rPr>
                <w:color w:val="000000"/>
                <w:szCs w:val="21"/>
              </w:rPr>
              <w:t>,</w:t>
            </w:r>
            <w:proofErr w:type="gramEnd"/>
            <w:r w:rsidRPr="003F04EA">
              <w:rPr>
                <w:color w:val="000000"/>
                <w:szCs w:val="21"/>
              </w:rPr>
              <w:t xml:space="preserve"> Salmachi A, Du Z. Two phase rate-transient analysis of a hydraulically fractured coal seam gas well: A case study from the Ordos Basin, China [J]. International Journal of Coal Geology 2018, 195: 47-60</w:t>
            </w:r>
            <w:r w:rsidRPr="003F04EA">
              <w:rPr>
                <w:rFonts w:hint="eastAsia"/>
                <w:color w:val="000000"/>
                <w:szCs w:val="21"/>
              </w:rPr>
              <w:t xml:space="preserve">. </w:t>
            </w:r>
          </w:p>
          <w:p w:rsidR="003F04EA" w:rsidRPr="003F04EA" w:rsidRDefault="003F04EA" w:rsidP="005F5BCA">
            <w:pPr>
              <w:snapToGrid w:val="0"/>
              <w:spacing w:line="300" w:lineRule="auto"/>
              <w:ind w:left="386" w:hangingChars="193" w:hanging="386"/>
              <w:rPr>
                <w:color w:val="000000"/>
                <w:szCs w:val="21"/>
              </w:rPr>
            </w:pPr>
            <w:r w:rsidRPr="003F04EA">
              <w:rPr>
                <w:color w:val="000000"/>
                <w:szCs w:val="21"/>
              </w:rPr>
              <w:t xml:space="preserve">[4] </w:t>
            </w:r>
            <w:r w:rsidRPr="003F04EA">
              <w:rPr>
                <w:b/>
                <w:color w:val="000000"/>
                <w:szCs w:val="21"/>
              </w:rPr>
              <w:t>Zhu S</w:t>
            </w:r>
            <w:r w:rsidRPr="003F04EA">
              <w:rPr>
                <w:color w:val="000000"/>
                <w:szCs w:val="21"/>
              </w:rPr>
              <w:t>, Du Z, Li C, et al. An analytical model for pore volume compressibility of reservoir rock [J]. Fuel, 2018, 232:543-9.</w:t>
            </w:r>
            <w:r w:rsidRPr="003F04EA"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3F04EA" w:rsidRPr="003F04EA" w:rsidRDefault="003F04EA" w:rsidP="005F5BCA">
            <w:pPr>
              <w:snapToGrid w:val="0"/>
              <w:spacing w:line="300" w:lineRule="auto"/>
              <w:ind w:left="386" w:hangingChars="193" w:hanging="386"/>
              <w:rPr>
                <w:color w:val="000000"/>
                <w:szCs w:val="21"/>
              </w:rPr>
            </w:pPr>
            <w:r w:rsidRPr="003F04EA">
              <w:rPr>
                <w:color w:val="000000"/>
                <w:szCs w:val="21"/>
              </w:rPr>
              <w:t>[5]</w:t>
            </w:r>
            <w:r w:rsidR="00AD36ED" w:rsidRPr="003F04EA">
              <w:rPr>
                <w:color w:val="000000"/>
                <w:szCs w:val="21"/>
              </w:rPr>
              <w:t xml:space="preserve"> </w:t>
            </w:r>
            <w:r w:rsidR="00AD36ED" w:rsidRPr="003F04EA">
              <w:rPr>
                <w:b/>
                <w:color w:val="000000"/>
                <w:szCs w:val="21"/>
              </w:rPr>
              <w:t>Zhu S</w:t>
            </w:r>
            <w:r w:rsidRPr="003F04EA">
              <w:rPr>
                <w:color w:val="000000"/>
                <w:szCs w:val="21"/>
              </w:rPr>
              <w:t>,</w:t>
            </w:r>
            <w:r w:rsidR="00AD36ED" w:rsidRPr="003F04EA">
              <w:rPr>
                <w:color w:val="000000"/>
                <w:szCs w:val="21"/>
              </w:rPr>
              <w:t xml:space="preserve"> </w:t>
            </w:r>
            <w:r w:rsidR="00AD36ED" w:rsidRPr="003F04EA">
              <w:rPr>
                <w:color w:val="000000"/>
                <w:szCs w:val="21"/>
              </w:rPr>
              <w:t>Du Z</w:t>
            </w:r>
            <w:r w:rsidR="00AD36ED">
              <w:rPr>
                <w:color w:val="000000"/>
                <w:szCs w:val="21"/>
              </w:rPr>
              <w:t>.</w:t>
            </w:r>
            <w:r w:rsidR="00AD36ED" w:rsidRPr="003F04EA">
              <w:rPr>
                <w:color w:val="000000"/>
                <w:szCs w:val="21"/>
              </w:rPr>
              <w:t>, Li C</w:t>
            </w:r>
            <w:r w:rsidR="00AD36ED">
              <w:rPr>
                <w:color w:val="000000"/>
                <w:szCs w:val="21"/>
              </w:rPr>
              <w:t>.</w:t>
            </w:r>
            <w:r w:rsidR="00AD36ED" w:rsidRPr="003F04EA">
              <w:rPr>
                <w:color w:val="000000"/>
                <w:szCs w:val="21"/>
              </w:rPr>
              <w:t>,</w:t>
            </w:r>
            <w:r w:rsidRPr="003F04EA">
              <w:rPr>
                <w:color w:val="000000"/>
                <w:szCs w:val="21"/>
              </w:rPr>
              <w:t xml:space="preserve"> </w:t>
            </w:r>
            <w:r w:rsidRPr="003F04EA">
              <w:rPr>
                <w:rFonts w:hint="eastAsia"/>
                <w:color w:val="000000"/>
                <w:szCs w:val="21"/>
              </w:rPr>
              <w:t>et al.</w:t>
            </w:r>
            <w:r w:rsidRPr="003F04EA">
              <w:rPr>
                <w:color w:val="000000"/>
                <w:szCs w:val="21"/>
              </w:rPr>
              <w:t xml:space="preserve"> </w:t>
            </w:r>
            <w:r w:rsidRPr="003F04EA">
              <w:rPr>
                <w:szCs w:val="21"/>
              </w:rPr>
              <w:t>Eﬀects of numerical dispersion on pressure diﬀusion in CBM reser</w:t>
            </w:r>
            <w:r w:rsidRPr="003F04EA">
              <w:rPr>
                <w:color w:val="000000"/>
                <w:szCs w:val="21"/>
              </w:rPr>
              <w:t>voirs[J]. Fuel 251 (2019) 534–542</w:t>
            </w:r>
          </w:p>
          <w:p w:rsidR="003F04EA" w:rsidRPr="003F04EA" w:rsidRDefault="003F04EA" w:rsidP="005F5BCA">
            <w:pPr>
              <w:snapToGrid w:val="0"/>
              <w:spacing w:line="300" w:lineRule="auto"/>
              <w:ind w:left="386" w:hangingChars="193" w:hanging="386"/>
              <w:rPr>
                <w:color w:val="000000"/>
                <w:szCs w:val="21"/>
              </w:rPr>
            </w:pPr>
            <w:r w:rsidRPr="003F04EA">
              <w:rPr>
                <w:color w:val="000000"/>
                <w:szCs w:val="21"/>
              </w:rPr>
              <w:t xml:space="preserve">[6] </w:t>
            </w:r>
            <w:r w:rsidRPr="003F04EA">
              <w:rPr>
                <w:b/>
                <w:color w:val="000000"/>
                <w:szCs w:val="21"/>
              </w:rPr>
              <w:t>Zhu S</w:t>
            </w:r>
            <w:r w:rsidRPr="003F04EA">
              <w:rPr>
                <w:color w:val="000000"/>
                <w:szCs w:val="21"/>
              </w:rPr>
              <w:t xml:space="preserve">. Experiment Research </w:t>
            </w:r>
            <w:proofErr w:type="gramStart"/>
            <w:r w:rsidRPr="003F04EA">
              <w:rPr>
                <w:color w:val="000000"/>
                <w:szCs w:val="21"/>
              </w:rPr>
              <w:t>Of</w:t>
            </w:r>
            <w:proofErr w:type="gramEnd"/>
            <w:r w:rsidRPr="003F04EA">
              <w:rPr>
                <w:color w:val="000000"/>
                <w:szCs w:val="21"/>
              </w:rPr>
              <w:t xml:space="preserve"> Tight Sandstone Gas Reservoir Stress Sensitivity Based On The Capillary Bundle Mode [C]. SPE Annual Technical Conference and Exhibtion. 2013, 30 September-2 October, New Orleans, Louisiana, USA, SPE-167638-STU</w:t>
            </w:r>
            <w:r w:rsidRPr="003F04EA">
              <w:rPr>
                <w:rFonts w:hint="eastAsia"/>
                <w:color w:val="000000"/>
                <w:szCs w:val="21"/>
              </w:rPr>
              <w:t xml:space="preserve">. </w:t>
            </w:r>
          </w:p>
          <w:p w:rsidR="003F04EA" w:rsidRPr="003F04EA" w:rsidRDefault="003F04EA" w:rsidP="005F5BCA">
            <w:pPr>
              <w:pStyle w:val="EndNoteBibliography"/>
              <w:snapToGrid w:val="0"/>
              <w:spacing w:line="300" w:lineRule="auto"/>
              <w:ind w:left="386" w:hangingChars="193" w:hanging="386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3F04EA">
              <w:rPr>
                <w:rFonts w:ascii="Times New Roman" w:hAnsi="Times New Roman"/>
                <w:color w:val="000000"/>
                <w:szCs w:val="21"/>
              </w:rPr>
              <w:t xml:space="preserve">[7] </w:t>
            </w:r>
            <w:r w:rsidRPr="003F04E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Wang Z, Bai H, </w:t>
            </w:r>
            <w:r w:rsidRPr="003F04EA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Zhu S</w:t>
            </w:r>
            <w:r w:rsidRPr="003F04E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, et al. An Entrained-Droplet Model for Prediction of Minimum Flow Rate for the Continuous Removal of Liquids from Gas Wells[J]. Spe Journal, 2015, 20(5):1041-1052.</w:t>
            </w:r>
            <w:r w:rsidRPr="003F04E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</w:p>
          <w:p w:rsidR="003F04EA" w:rsidRPr="003F04EA" w:rsidRDefault="003F04EA" w:rsidP="005F5BCA">
            <w:pPr>
              <w:pStyle w:val="EndNoteBibliography"/>
              <w:snapToGrid w:val="0"/>
              <w:spacing w:line="300" w:lineRule="auto"/>
              <w:ind w:left="386" w:hangingChars="193" w:hanging="386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3F04EA">
              <w:rPr>
                <w:rFonts w:ascii="Times New Roman" w:hAnsi="Times New Roman"/>
                <w:color w:val="000000"/>
                <w:szCs w:val="21"/>
              </w:rPr>
              <w:t xml:space="preserve">[8] </w:t>
            </w:r>
            <w:r w:rsidRPr="003F04E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Wang Z, Guo L, </w:t>
            </w:r>
            <w:r w:rsidRPr="003F04EA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Zhu S</w:t>
            </w:r>
            <w:r w:rsidRPr="003F04E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, et al. Prediction of the Critical Gas Velocity of Liquid Unloading in a Horizontal Gas Well[J]. Spe Journal, 2017, 23(2).</w:t>
            </w:r>
            <w:r w:rsidRPr="003F04E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</w:p>
          <w:p w:rsidR="003F04EA" w:rsidRDefault="003F04EA" w:rsidP="005F5BCA">
            <w:pPr>
              <w:pStyle w:val="EndNoteBibliography"/>
              <w:snapToGrid w:val="0"/>
              <w:spacing w:line="300" w:lineRule="auto"/>
              <w:ind w:left="386" w:hangingChars="193" w:hanging="386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3F04EA">
              <w:rPr>
                <w:rFonts w:ascii="Times New Roman" w:hAnsi="Times New Roman"/>
                <w:color w:val="000000"/>
                <w:szCs w:val="21"/>
              </w:rPr>
              <w:t xml:space="preserve">[9] </w:t>
            </w:r>
            <w:r w:rsidRPr="003F04E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A.Salmachi, </w:t>
            </w:r>
            <w:r w:rsidRPr="003F04EA">
              <w:rPr>
                <w:rFonts w:ascii="Times New Roman" w:hAnsi="Times New Roman"/>
                <w:szCs w:val="24"/>
              </w:rPr>
              <w:t xml:space="preserve">C.Clarkson, </w:t>
            </w:r>
            <w:r w:rsidRPr="003F04EA">
              <w:rPr>
                <w:rFonts w:ascii="Times New Roman" w:hAnsi="Times New Roman"/>
                <w:b/>
                <w:szCs w:val="24"/>
              </w:rPr>
              <w:t>S. Zhu,</w:t>
            </w:r>
            <w:r w:rsidRPr="003F04EA">
              <w:rPr>
                <w:rFonts w:ascii="Times New Roman" w:hAnsi="Times New Roman"/>
                <w:szCs w:val="24"/>
              </w:rPr>
              <w:t xml:space="preserve"> J. A. Barkla. </w:t>
            </w:r>
            <w:r w:rsidRPr="003F04E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Relative Permeability Curve Shapes in Coalbed Methane Reservoirs [C]. Asia-Pacific oil and gas conference and exhibition, Society of Petroleum Engineers, Brisbane, 23-26, October, 2018, SPE-192029.</w:t>
            </w:r>
          </w:p>
          <w:p w:rsidR="005F5BCA" w:rsidRPr="005F5BCA" w:rsidRDefault="005F5BCA" w:rsidP="005F5BCA">
            <w:pPr>
              <w:pStyle w:val="EndNoteBibliography"/>
              <w:snapToGrid w:val="0"/>
              <w:spacing w:line="300" w:lineRule="auto"/>
              <w:ind w:left="386" w:hangingChars="193" w:hanging="386"/>
              <w:rPr>
                <w:rFonts w:ascii="Times New Roman" w:hAnsi="Times New Roman"/>
                <w:color w:val="000000"/>
                <w:szCs w:val="21"/>
              </w:rPr>
            </w:pPr>
            <w:r w:rsidRPr="005F5BCA">
              <w:rPr>
                <w:rFonts w:ascii="Times New Roman" w:hAnsi="Times New Roman"/>
                <w:color w:val="000000"/>
                <w:szCs w:val="21"/>
              </w:rPr>
              <w:t>[</w:t>
            </w:r>
            <w:r>
              <w:rPr>
                <w:rFonts w:ascii="Times New Roman" w:hAnsi="Times New Roman"/>
                <w:color w:val="000000"/>
                <w:szCs w:val="21"/>
              </w:rPr>
              <w:t>10</w:t>
            </w:r>
            <w:r w:rsidRPr="005F5BCA">
              <w:rPr>
                <w:rFonts w:ascii="Times New Roman" w:hAnsi="Times New Roman"/>
                <w:color w:val="000000"/>
                <w:szCs w:val="21"/>
              </w:rPr>
              <w:t xml:space="preserve">] </w:t>
            </w:r>
            <w:r w:rsidRPr="005F5BCA">
              <w:rPr>
                <w:rFonts w:ascii="Times New Roman" w:hAnsi="Times New Roman" w:hint="eastAsia"/>
                <w:color w:val="000000"/>
                <w:szCs w:val="21"/>
              </w:rPr>
              <w:t xml:space="preserve">Zhong H Q , </w:t>
            </w:r>
            <w:r w:rsidRPr="00AD36ED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Zhu S</w:t>
            </w:r>
            <w:r w:rsidR="00AD36ED">
              <w:rPr>
                <w:rFonts w:ascii="Times New Roman" w:hAnsi="Times New Roman"/>
                <w:b/>
                <w:bCs/>
                <w:color w:val="000000"/>
                <w:szCs w:val="21"/>
              </w:rPr>
              <w:t>.</w:t>
            </w:r>
            <w:r w:rsidRPr="005F5BCA">
              <w:rPr>
                <w:rFonts w:ascii="Times New Roman" w:hAnsi="Times New Roman" w:hint="eastAsia"/>
                <w:color w:val="000000"/>
                <w:szCs w:val="21"/>
              </w:rPr>
              <w:t xml:space="preserve"> , Zeng W G , et al. Research on heavy oil gas lift assisted with light oil injected from the annulus[J]. Journal of Petroleum Exploration and Production Technology, 2018, 8(4):1465-1471.</w:t>
            </w:r>
          </w:p>
          <w:p w:rsidR="003F04EA" w:rsidRDefault="003F04EA" w:rsidP="005F5BCA">
            <w:pPr>
              <w:pStyle w:val="EndNoteBibliography"/>
              <w:snapToGrid w:val="0"/>
              <w:spacing w:line="300" w:lineRule="auto"/>
              <w:ind w:left="386" w:hangingChars="193" w:hanging="386"/>
              <w:rPr>
                <w:rFonts w:ascii="Times New Roman" w:hAnsi="Times New Roman"/>
                <w:color w:val="000000"/>
                <w:szCs w:val="21"/>
              </w:rPr>
            </w:pPr>
            <w:r w:rsidRPr="003F04EA">
              <w:rPr>
                <w:rFonts w:ascii="Times New Roman" w:hAnsi="Times New Roman"/>
                <w:color w:val="000000"/>
                <w:szCs w:val="21"/>
              </w:rPr>
              <w:t>[1</w:t>
            </w:r>
            <w:r w:rsidR="005F5BCA">
              <w:rPr>
                <w:rFonts w:ascii="Times New Roman" w:hAnsi="Times New Roman"/>
                <w:color w:val="000000"/>
                <w:szCs w:val="21"/>
              </w:rPr>
              <w:t>1</w:t>
            </w:r>
            <w:r w:rsidRPr="003F04EA">
              <w:rPr>
                <w:rFonts w:ascii="Times New Roman" w:hAnsi="Times New Roman"/>
                <w:color w:val="000000"/>
                <w:szCs w:val="21"/>
              </w:rPr>
              <w:t xml:space="preserve">] </w:t>
            </w:r>
            <w:r w:rsidR="00AD36ED">
              <w:rPr>
                <w:rFonts w:ascii="Times New Roman" w:hAnsi="Times New Roman"/>
                <w:color w:val="000000"/>
                <w:szCs w:val="21"/>
              </w:rPr>
              <w:t>Wang C.</w:t>
            </w:r>
            <w:bookmarkStart w:id="2" w:name="_GoBack"/>
            <w:bookmarkEnd w:id="2"/>
            <w:r w:rsidRPr="003F04EA">
              <w:rPr>
                <w:rFonts w:ascii="Times New Roman" w:hAnsi="Times New Roman"/>
                <w:color w:val="000000"/>
                <w:szCs w:val="21"/>
              </w:rPr>
              <w:t xml:space="preserve">, </w:t>
            </w:r>
            <w:r w:rsidR="00AD36ED">
              <w:rPr>
                <w:rFonts w:ascii="Times New Roman" w:hAnsi="Times New Roman"/>
                <w:color w:val="000000"/>
                <w:szCs w:val="21"/>
              </w:rPr>
              <w:t>Jia C.</w:t>
            </w:r>
            <w:r w:rsidRPr="003F04EA">
              <w:rPr>
                <w:rFonts w:ascii="Times New Roman" w:hAnsi="Times New Roman"/>
                <w:color w:val="000000"/>
                <w:szCs w:val="21"/>
              </w:rPr>
              <w:t>,</w:t>
            </w:r>
            <w:r w:rsidR="00AD36ED">
              <w:rPr>
                <w:rFonts w:ascii="Times New Roman" w:hAnsi="Times New Roman"/>
                <w:color w:val="000000"/>
                <w:szCs w:val="21"/>
              </w:rPr>
              <w:t>Peng X.</w:t>
            </w:r>
            <w:r w:rsidRPr="003F04EA">
              <w:rPr>
                <w:rFonts w:ascii="Times New Roman" w:hAnsi="Times New Roman"/>
                <w:color w:val="000000"/>
                <w:szCs w:val="21"/>
              </w:rPr>
              <w:t>,</w:t>
            </w:r>
            <w:r w:rsidRPr="003F04EA">
              <w:rPr>
                <w:rFonts w:ascii="Times New Roman" w:hAnsi="Times New Roman"/>
                <w:b/>
                <w:color w:val="000000"/>
                <w:szCs w:val="21"/>
              </w:rPr>
              <w:t xml:space="preserve"> </w:t>
            </w:r>
            <w:r w:rsidR="00AD36ED">
              <w:rPr>
                <w:rFonts w:ascii="Times New Roman" w:hAnsi="Times New Roman"/>
                <w:b/>
                <w:color w:val="000000"/>
                <w:szCs w:val="21"/>
              </w:rPr>
              <w:t>Zhu S.</w:t>
            </w:r>
            <w:r w:rsidRPr="003F04EA">
              <w:rPr>
                <w:rFonts w:ascii="Times New Roman" w:hAnsi="Times New Roman"/>
                <w:b/>
                <w:color w:val="000000"/>
                <w:szCs w:val="21"/>
              </w:rPr>
              <w:t xml:space="preserve"> </w:t>
            </w:r>
            <w:r w:rsidRPr="003F04EA">
              <w:rPr>
                <w:rFonts w:ascii="Times New Roman" w:hAnsi="Times New Roman"/>
                <w:color w:val="000000"/>
                <w:szCs w:val="21"/>
              </w:rPr>
              <w:t>&amp; Feng Liu (2019): A new well structure and methane recovery enhancement method in two coal seams, Energy Sources, Part A: Recovery, Utilization, and Environmental Effects, DOI: 10.1080 /15567036.2019.1604906.</w:t>
            </w:r>
          </w:p>
          <w:p w:rsidR="005F5BCA" w:rsidRPr="005F5BCA" w:rsidRDefault="005F5BCA" w:rsidP="003F04EA">
            <w:pPr>
              <w:pStyle w:val="EndNoteBibliography"/>
              <w:spacing w:line="300" w:lineRule="auto"/>
              <w:ind w:left="386" w:hangingChars="193" w:hanging="386"/>
              <w:rPr>
                <w:szCs w:val="21"/>
              </w:rPr>
            </w:pPr>
          </w:p>
          <w:p w:rsidR="003F04EA" w:rsidRPr="003F04EA" w:rsidRDefault="003F04EA" w:rsidP="003F04EA">
            <w:pPr>
              <w:pStyle w:val="EndNoteBibliography"/>
              <w:spacing w:line="300" w:lineRule="auto"/>
              <w:ind w:left="386" w:hangingChars="193" w:hanging="386"/>
              <w:rPr>
                <w:szCs w:val="21"/>
              </w:rPr>
            </w:pPr>
          </w:p>
        </w:tc>
      </w:tr>
    </w:tbl>
    <w:p w:rsidR="003F04EA" w:rsidRDefault="003F04EA" w:rsidP="003F04EA">
      <w:pPr>
        <w:snapToGrid w:val="0"/>
        <w:spacing w:line="300" w:lineRule="auto"/>
        <w:ind w:left="425" w:hangingChars="193" w:hanging="425"/>
        <w:rPr>
          <w:color w:val="000000"/>
          <w:sz w:val="22"/>
          <w:szCs w:val="21"/>
        </w:rPr>
      </w:pPr>
    </w:p>
    <w:sectPr w:rsidR="003F0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D02" w:rsidRDefault="005C5D02" w:rsidP="00872DF1">
      <w:r>
        <w:separator/>
      </w:r>
    </w:p>
  </w:endnote>
  <w:endnote w:type="continuationSeparator" w:id="0">
    <w:p w:rsidR="005C5D02" w:rsidRDefault="005C5D02" w:rsidP="0087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arisSI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D02" w:rsidRDefault="005C5D02" w:rsidP="00872DF1">
      <w:r>
        <w:separator/>
      </w:r>
    </w:p>
  </w:footnote>
  <w:footnote w:type="continuationSeparator" w:id="0">
    <w:p w:rsidR="005C5D02" w:rsidRDefault="005C5D02" w:rsidP="0087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6425F"/>
    <w:multiLevelType w:val="hybridMultilevel"/>
    <w:tmpl w:val="6EAACBAC"/>
    <w:lvl w:ilvl="0" w:tplc="24CAD6B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13519A"/>
    <w:multiLevelType w:val="hybridMultilevel"/>
    <w:tmpl w:val="F8BAA268"/>
    <w:lvl w:ilvl="0" w:tplc="133427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15476C"/>
    <w:multiLevelType w:val="hybridMultilevel"/>
    <w:tmpl w:val="607E18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20"/>
    <w:rsid w:val="000A5630"/>
    <w:rsid w:val="000F605C"/>
    <w:rsid w:val="00123556"/>
    <w:rsid w:val="001269E1"/>
    <w:rsid w:val="00151C99"/>
    <w:rsid w:val="0019517F"/>
    <w:rsid w:val="003F04EA"/>
    <w:rsid w:val="004D6741"/>
    <w:rsid w:val="004E6EA3"/>
    <w:rsid w:val="004F5259"/>
    <w:rsid w:val="0051575B"/>
    <w:rsid w:val="005C5D02"/>
    <w:rsid w:val="005F5879"/>
    <w:rsid w:val="005F5BCA"/>
    <w:rsid w:val="00720DD6"/>
    <w:rsid w:val="00766B36"/>
    <w:rsid w:val="007810C1"/>
    <w:rsid w:val="007A01B2"/>
    <w:rsid w:val="00872DF1"/>
    <w:rsid w:val="00981439"/>
    <w:rsid w:val="00A00CD5"/>
    <w:rsid w:val="00A35151"/>
    <w:rsid w:val="00A502C0"/>
    <w:rsid w:val="00A5115E"/>
    <w:rsid w:val="00A65273"/>
    <w:rsid w:val="00AA49A4"/>
    <w:rsid w:val="00AD36ED"/>
    <w:rsid w:val="00B33AE2"/>
    <w:rsid w:val="00C732E5"/>
    <w:rsid w:val="00CA242D"/>
    <w:rsid w:val="00CF7320"/>
    <w:rsid w:val="00D76E4D"/>
    <w:rsid w:val="00F8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B6470"/>
  <w15:chartTrackingRefBased/>
  <w15:docId w15:val="{499E8EEE-BA6B-48A5-B09C-A81FC209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2D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2D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2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2DF1"/>
    <w:rPr>
      <w:sz w:val="18"/>
      <w:szCs w:val="18"/>
    </w:rPr>
  </w:style>
  <w:style w:type="table" w:styleId="a7">
    <w:name w:val="Table Grid"/>
    <w:basedOn w:val="a1"/>
    <w:rsid w:val="00872DF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2DF1"/>
    <w:pPr>
      <w:ind w:firstLineChars="200" w:firstLine="420"/>
    </w:pPr>
  </w:style>
  <w:style w:type="paragraph" w:customStyle="1" w:styleId="1HGFCVHEAD11ARIALbold4b">
    <w:name w:val="1HGF_CV_HEAD_11ARIAL_bold_+4b"/>
    <w:basedOn w:val="a"/>
    <w:rsid w:val="00872DF1"/>
    <w:pPr>
      <w:widowControl/>
      <w:shd w:val="pct25" w:color="auto" w:fill="auto"/>
      <w:tabs>
        <w:tab w:val="left" w:pos="567"/>
        <w:tab w:val="left" w:pos="1134"/>
      </w:tabs>
      <w:spacing w:before="80" w:line="200" w:lineRule="exact"/>
    </w:pPr>
    <w:rPr>
      <w:rFonts w:ascii="Arial" w:eastAsiaTheme="minorEastAsia" w:hAnsi="Arial"/>
      <w:b/>
      <w:kern w:val="0"/>
      <w:sz w:val="22"/>
      <w:lang w:eastAsia="de-DE"/>
    </w:rPr>
  </w:style>
  <w:style w:type="paragraph" w:customStyle="1" w:styleId="CASSNormal">
    <w:name w:val="CASS Normal"/>
    <w:basedOn w:val="a"/>
    <w:rsid w:val="00720DD6"/>
    <w:pPr>
      <w:widowControl/>
      <w:spacing w:before="60"/>
      <w:jc w:val="left"/>
    </w:pPr>
    <w:rPr>
      <w:rFonts w:ascii="Verdana" w:eastAsiaTheme="minorEastAsia" w:hAnsi="Verdana"/>
      <w:kern w:val="0"/>
      <w:sz w:val="16"/>
      <w:szCs w:val="22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CA242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A242D"/>
    <w:rPr>
      <w:rFonts w:ascii="Times New Roman" w:eastAsia="宋体" w:hAnsi="Times New Roman" w:cs="Times New Roman"/>
      <w:sz w:val="18"/>
      <w:szCs w:val="18"/>
    </w:rPr>
  </w:style>
  <w:style w:type="paragraph" w:customStyle="1" w:styleId="EndNoteBibliography">
    <w:name w:val="EndNote Bibliography"/>
    <w:basedOn w:val="a"/>
    <w:link w:val="EndNoteBibliography0"/>
    <w:rsid w:val="00B33AE2"/>
    <w:rPr>
      <w:rFonts w:ascii="Calibri" w:hAnsi="Calibri"/>
      <w:noProof/>
      <w:sz w:val="20"/>
      <w:szCs w:val="22"/>
    </w:rPr>
  </w:style>
  <w:style w:type="character" w:customStyle="1" w:styleId="EndNoteBibliography0">
    <w:name w:val="EndNote Bibliography 字符"/>
    <w:basedOn w:val="a0"/>
    <w:link w:val="EndNoteBibliography"/>
    <w:rsid w:val="00B33AE2"/>
    <w:rPr>
      <w:rFonts w:ascii="Calibri" w:eastAsia="宋体" w:hAnsi="Calibri" w:cs="Times New Roman"/>
      <w:noProof/>
      <w:sz w:val="20"/>
    </w:rPr>
  </w:style>
  <w:style w:type="character" w:customStyle="1" w:styleId="fontstyle01">
    <w:name w:val="fontstyle01"/>
    <w:basedOn w:val="a0"/>
    <w:rsid w:val="004F5259"/>
    <w:rPr>
      <w:rFonts w:ascii="CharisSIL" w:hAnsi="CharisSIL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3634C768AE84A94B62ADC734A7AC7" ma:contentTypeVersion="1" ma:contentTypeDescription="Create a new document." ma:contentTypeScope="" ma:versionID="659ce2226b0afe6846164d612083a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D223B4-5402-4CAD-91C8-1B4C4287C5ED}"/>
</file>

<file path=customXml/itemProps2.xml><?xml version="1.0" encoding="utf-8"?>
<ds:datastoreItem xmlns:ds="http://schemas.openxmlformats.org/officeDocument/2006/customXml" ds:itemID="{D95C2E0A-56FC-4CFB-B1FE-6ECC805468DC}"/>
</file>

<file path=customXml/itemProps3.xml><?xml version="1.0" encoding="utf-8"?>
<ds:datastoreItem xmlns:ds="http://schemas.openxmlformats.org/officeDocument/2006/customXml" ds:itemID="{9D519010-3C9C-4A35-86E7-89BCF8E0CE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688</Words>
  <Characters>3924</Characters>
  <Application>Microsoft Office Word</Application>
  <DocSecurity>0</DocSecurity>
  <Lines>32</Lines>
  <Paragraphs>9</Paragraphs>
  <ScaleCrop>false</ScaleCrop>
  <Company>Microsoft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Suyang Zhu</cp:lastModifiedBy>
  <cp:revision>23</cp:revision>
  <dcterms:created xsi:type="dcterms:W3CDTF">2016-06-20T03:08:00Z</dcterms:created>
  <dcterms:modified xsi:type="dcterms:W3CDTF">2019-10-23T04:51:00Z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0x010100EFB3634C768AE84A94B62ADC734A7AC7</vt:lpwstr>
  </property>
</Properties>
</file>